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91380F" w14:textId="1FF173C6" w:rsidR="00EF572D" w:rsidRPr="00C57997" w:rsidRDefault="00C57997" w:rsidP="00C57997">
      <w:pPr>
        <w:pBdr>
          <w:top w:val="nil"/>
          <w:left w:val="nil"/>
          <w:bottom w:val="nil"/>
          <w:right w:val="nil"/>
          <w:between w:val="nil"/>
          <w:bar w:val="nil"/>
        </w:pBdr>
        <w:ind w:firstLine="0"/>
        <w:jc w:val="center"/>
        <w:rPr>
          <w:rFonts w:eastAsia="Arial Unicode MS"/>
          <w:b/>
          <w:bCs/>
          <w:szCs w:val="24"/>
          <w:bdr w:val="nil"/>
          <w:lang w:val="el-GR"/>
        </w:rPr>
      </w:pPr>
      <w:bookmarkStart w:id="0" w:name="_Hlk88462045"/>
      <w:bookmarkStart w:id="1" w:name="_Hlk88473361"/>
      <w:r>
        <w:rPr>
          <w:rFonts w:eastAsia="Arial Unicode MS"/>
          <w:b/>
          <w:bCs/>
          <w:szCs w:val="24"/>
          <w:bdr w:val="nil"/>
          <w:lang w:val="el-GR"/>
        </w:rPr>
        <w:t>Η</w:t>
      </w:r>
      <w:r w:rsidRPr="00C57997">
        <w:rPr>
          <w:rFonts w:eastAsia="Arial Unicode MS"/>
          <w:b/>
          <w:bCs/>
          <w:szCs w:val="24"/>
          <w:bdr w:val="nil"/>
          <w:lang w:val="el-GR"/>
        </w:rPr>
        <w:t xml:space="preserve"> σχέση μεταξύ χρηματοοικονομικής απόδοσης και απόδοσης των τιμών των μετόχων στον χρηματοοικονομικό κλάδο.</w:t>
      </w:r>
      <w:r>
        <w:rPr>
          <w:rFonts w:eastAsia="Arial Unicode MS"/>
          <w:b/>
          <w:bCs/>
          <w:szCs w:val="24"/>
          <w:bdr w:val="nil"/>
          <w:lang w:val="el-GR"/>
        </w:rPr>
        <w:t xml:space="preserve"> Μ</w:t>
      </w:r>
      <w:r w:rsidRPr="00C57997">
        <w:rPr>
          <w:rFonts w:eastAsia="Arial Unicode MS"/>
          <w:b/>
          <w:bCs/>
          <w:szCs w:val="24"/>
          <w:bdr w:val="nil"/>
          <w:lang w:val="el-GR"/>
        </w:rPr>
        <w:t>ελέτη περίπτωσης στις τέσσερις</w:t>
      </w:r>
      <w:r>
        <w:rPr>
          <w:rFonts w:eastAsia="Arial Unicode MS"/>
          <w:b/>
          <w:bCs/>
          <w:szCs w:val="24"/>
          <w:bdr w:val="nil"/>
          <w:lang w:val="el-GR"/>
        </w:rPr>
        <w:t xml:space="preserve"> </w:t>
      </w:r>
      <w:proofErr w:type="spellStart"/>
      <w:r>
        <w:rPr>
          <w:rFonts w:eastAsia="Arial Unicode MS"/>
          <w:b/>
          <w:bCs/>
          <w:szCs w:val="24"/>
          <w:bdr w:val="nil"/>
          <w:lang w:val="el-GR"/>
        </w:rPr>
        <w:t>συστημικέ</w:t>
      </w:r>
      <w:r w:rsidRPr="00C57997">
        <w:rPr>
          <w:rFonts w:eastAsia="Arial Unicode MS"/>
          <w:b/>
          <w:bCs/>
          <w:szCs w:val="24"/>
          <w:bdr w:val="nil"/>
          <w:lang w:val="el-GR"/>
        </w:rPr>
        <w:t>ς</w:t>
      </w:r>
      <w:proofErr w:type="spellEnd"/>
      <w:r w:rsidRPr="00C57997">
        <w:rPr>
          <w:rFonts w:eastAsia="Arial Unicode MS"/>
          <w:b/>
          <w:bCs/>
          <w:szCs w:val="24"/>
          <w:bdr w:val="nil"/>
          <w:lang w:val="el-GR"/>
        </w:rPr>
        <w:t xml:space="preserve"> τράπεζες της Ελλάδας</w:t>
      </w:r>
    </w:p>
    <w:bookmarkEnd w:id="0"/>
    <w:p w14:paraId="16204742" w14:textId="77777777" w:rsidR="00EF572D" w:rsidRPr="001B0BAE" w:rsidRDefault="00EF572D" w:rsidP="00C57997">
      <w:pPr>
        <w:jc w:val="center"/>
        <w:rPr>
          <w:lang w:val="el-GR"/>
        </w:rPr>
      </w:pPr>
    </w:p>
    <w:p w14:paraId="6F5A5E1B" w14:textId="77777777" w:rsidR="001C21B9" w:rsidRDefault="001C21B9" w:rsidP="00C57997">
      <w:pPr>
        <w:jc w:val="center"/>
        <w:rPr>
          <w:lang w:val="el-GR"/>
        </w:rPr>
      </w:pPr>
      <w:bookmarkStart w:id="2" w:name="bkAuthor"/>
      <w:bookmarkEnd w:id="2"/>
    </w:p>
    <w:p w14:paraId="27BF708D" w14:textId="77777777" w:rsidR="00C57997" w:rsidRDefault="00C57997" w:rsidP="00C57997">
      <w:pPr>
        <w:jc w:val="center"/>
        <w:rPr>
          <w:lang w:val="el-GR"/>
        </w:rPr>
      </w:pPr>
    </w:p>
    <w:p w14:paraId="764D9F5F" w14:textId="77777777" w:rsidR="00C57997" w:rsidRDefault="00C57997" w:rsidP="00C57997">
      <w:pPr>
        <w:jc w:val="center"/>
        <w:rPr>
          <w:lang w:val="el-GR"/>
        </w:rPr>
      </w:pPr>
    </w:p>
    <w:p w14:paraId="78D9154F" w14:textId="71FBF501" w:rsidR="00B454B7" w:rsidRPr="00D07A65" w:rsidRDefault="00FC1A82" w:rsidP="00C57997">
      <w:pPr>
        <w:ind w:firstLine="0"/>
        <w:jc w:val="center"/>
        <w:rPr>
          <w:b/>
          <w:bCs/>
          <w:lang w:val="el-GR"/>
        </w:rPr>
      </w:pPr>
      <w:r>
        <w:rPr>
          <w:b/>
          <w:bCs/>
          <w:lang w:val="el-GR"/>
        </w:rPr>
        <w:t xml:space="preserve">Της </w:t>
      </w:r>
      <w:r w:rsidR="00D07A65" w:rsidRPr="00D07A65">
        <w:rPr>
          <w:b/>
          <w:bCs/>
          <w:lang w:val="el-GR"/>
        </w:rPr>
        <w:t>Σταυρούλα</w:t>
      </w:r>
      <w:r>
        <w:rPr>
          <w:b/>
          <w:bCs/>
          <w:lang w:val="el-GR"/>
        </w:rPr>
        <w:t xml:space="preserve">ς </w:t>
      </w:r>
      <w:r w:rsidRPr="00D07A65">
        <w:rPr>
          <w:b/>
          <w:bCs/>
          <w:lang w:val="el-GR"/>
        </w:rPr>
        <w:t>Ζαγανά</w:t>
      </w:r>
    </w:p>
    <w:p w14:paraId="3B13804B" w14:textId="77777777" w:rsidR="00EF572D" w:rsidRDefault="00EF572D" w:rsidP="00C57997">
      <w:pPr>
        <w:jc w:val="center"/>
        <w:rPr>
          <w:lang w:val="el-GR"/>
        </w:rPr>
      </w:pPr>
      <w:bookmarkStart w:id="3" w:name="bkAuthorAffil"/>
      <w:bookmarkEnd w:id="3"/>
    </w:p>
    <w:p w14:paraId="762D9C2D" w14:textId="77777777" w:rsidR="00142FBA" w:rsidRDefault="00142FBA" w:rsidP="00C57997">
      <w:pPr>
        <w:jc w:val="center"/>
        <w:rPr>
          <w:lang w:val="el-GR"/>
        </w:rPr>
      </w:pPr>
    </w:p>
    <w:p w14:paraId="4ECD6FDF" w14:textId="77777777" w:rsidR="00EF572D" w:rsidRPr="001B0BAE" w:rsidRDefault="00EF572D" w:rsidP="00C57997">
      <w:pPr>
        <w:jc w:val="center"/>
        <w:rPr>
          <w:lang w:val="el-GR"/>
        </w:rPr>
      </w:pPr>
    </w:p>
    <w:p w14:paraId="3A498BDD" w14:textId="1E486651" w:rsidR="00EF572D" w:rsidRPr="008D791C" w:rsidRDefault="00EF572D" w:rsidP="00C57997">
      <w:pPr>
        <w:ind w:firstLine="0"/>
        <w:jc w:val="center"/>
        <w:rPr>
          <w:b/>
          <w:lang w:val="el-GR"/>
        </w:rPr>
      </w:pPr>
      <w:r w:rsidRPr="00142FBA">
        <w:rPr>
          <w:b/>
          <w:lang w:val="el-GR"/>
        </w:rPr>
        <w:t>Μεταπτυχιακή Διπλωματική Εργασία που υποβάλλεται</w:t>
      </w:r>
      <w:r w:rsidR="00D30596">
        <w:rPr>
          <w:b/>
          <w:lang w:val="el-GR"/>
        </w:rPr>
        <w:t xml:space="preserve"> στο καθηγητικό σώμα </w:t>
      </w:r>
      <w:r w:rsidRPr="00142FBA">
        <w:rPr>
          <w:b/>
          <w:lang w:val="el-GR"/>
        </w:rPr>
        <w:t>για τη μερική εκπλήρωση των υποχρεώσεων</w:t>
      </w:r>
      <w:r w:rsidR="00D30596">
        <w:rPr>
          <w:b/>
          <w:lang w:val="el-GR"/>
        </w:rPr>
        <w:t xml:space="preserve"> απόκτησης Διπλώματος </w:t>
      </w:r>
      <w:r w:rsidR="00D30596" w:rsidRPr="00D30596">
        <w:rPr>
          <w:b/>
          <w:lang w:val="el-GR"/>
        </w:rPr>
        <w:t>Μεταπτυχιακών Σπουδών</w:t>
      </w:r>
      <w:r w:rsidR="00D30596">
        <w:rPr>
          <w:b/>
          <w:lang w:val="el-GR"/>
        </w:rPr>
        <w:t xml:space="preserve"> στην </w:t>
      </w:r>
      <w:r w:rsidR="00B85A71">
        <w:rPr>
          <w:b/>
          <w:lang w:val="el-GR"/>
        </w:rPr>
        <w:t>«</w:t>
      </w:r>
      <w:r w:rsidRPr="00142FBA">
        <w:rPr>
          <w:b/>
          <w:lang w:val="el-GR"/>
        </w:rPr>
        <w:t>Διοίκηση Αθλητικών Ο</w:t>
      </w:r>
      <w:r w:rsidR="00D30596">
        <w:rPr>
          <w:b/>
          <w:lang w:val="el-GR"/>
        </w:rPr>
        <w:t xml:space="preserve">ργανισμών και Επιχειρήσεων» του </w:t>
      </w:r>
      <w:r w:rsidRPr="00142FBA">
        <w:rPr>
          <w:b/>
          <w:lang w:val="el-GR"/>
        </w:rPr>
        <w:t>Τμήματος</w:t>
      </w:r>
      <w:r w:rsidR="00D30596">
        <w:rPr>
          <w:b/>
          <w:lang w:val="el-GR"/>
        </w:rPr>
        <w:t xml:space="preserve"> </w:t>
      </w:r>
      <w:r w:rsidRPr="00142FBA">
        <w:rPr>
          <w:b/>
          <w:lang w:val="el-GR"/>
        </w:rPr>
        <w:t xml:space="preserve">Οργάνωσης και Διαχείρισης </w:t>
      </w:r>
      <w:r w:rsidR="00177F36">
        <w:rPr>
          <w:b/>
          <w:lang w:val="el-GR"/>
        </w:rPr>
        <w:t xml:space="preserve">Αθλητισμού </w:t>
      </w:r>
      <w:r w:rsidRPr="00142FBA">
        <w:rPr>
          <w:b/>
          <w:lang w:val="el-GR"/>
        </w:rPr>
        <w:t xml:space="preserve">του Παν/μίου Πελοποννήσου </w:t>
      </w:r>
      <w:r w:rsidR="00D30596">
        <w:rPr>
          <w:b/>
          <w:lang w:val="el-GR"/>
        </w:rPr>
        <w:t xml:space="preserve"> </w:t>
      </w:r>
      <w:r w:rsidRPr="00142FBA">
        <w:rPr>
          <w:b/>
          <w:lang w:val="el-GR"/>
        </w:rPr>
        <w:t>στην κατεύθυνση</w:t>
      </w:r>
      <w:r w:rsidR="00142FBA" w:rsidRPr="00142FBA">
        <w:rPr>
          <w:b/>
          <w:lang w:val="el-GR"/>
        </w:rPr>
        <w:t xml:space="preserve"> </w:t>
      </w:r>
      <w:r w:rsidRPr="008D791C">
        <w:rPr>
          <w:b/>
          <w:lang w:val="el-GR"/>
        </w:rPr>
        <w:t>«</w:t>
      </w:r>
      <w:r w:rsidR="00B00805">
        <w:rPr>
          <w:b/>
          <w:lang w:val="el-GR"/>
        </w:rPr>
        <w:t>Οικονομική Διαχε</w:t>
      </w:r>
      <w:r w:rsidR="000C7456">
        <w:rPr>
          <w:b/>
          <w:lang w:val="el-GR"/>
        </w:rPr>
        <w:t>ίριση Αθλητικών Οργανισμών και Ε</w:t>
      </w:r>
      <w:r w:rsidR="00B00805">
        <w:rPr>
          <w:b/>
          <w:lang w:val="el-GR"/>
        </w:rPr>
        <w:t>πιχειρήσεων</w:t>
      </w:r>
      <w:r w:rsidR="008D791C" w:rsidRPr="008D791C">
        <w:rPr>
          <w:b/>
          <w:lang w:val="el-GR"/>
        </w:rPr>
        <w:t>»</w:t>
      </w:r>
    </w:p>
    <w:p w14:paraId="32876C8F" w14:textId="77777777" w:rsidR="00EF572D" w:rsidRDefault="00EF572D" w:rsidP="00C57997">
      <w:pPr>
        <w:pStyle w:val="1"/>
      </w:pPr>
    </w:p>
    <w:p w14:paraId="105C8A89" w14:textId="77777777" w:rsidR="00D30596" w:rsidRDefault="00D30596" w:rsidP="00C57997">
      <w:pPr>
        <w:pStyle w:val="a0"/>
        <w:rPr>
          <w:lang w:val="el-GR"/>
        </w:rPr>
      </w:pPr>
    </w:p>
    <w:p w14:paraId="1AE7EAA9" w14:textId="77777777" w:rsidR="00C57997" w:rsidRDefault="00C57997" w:rsidP="00C57997">
      <w:pPr>
        <w:pStyle w:val="a0"/>
        <w:rPr>
          <w:lang w:val="el-GR"/>
        </w:rPr>
      </w:pPr>
    </w:p>
    <w:p w14:paraId="4E22257E" w14:textId="77777777" w:rsidR="00C57997" w:rsidRPr="00D30596" w:rsidRDefault="00C57997" w:rsidP="00C57997">
      <w:pPr>
        <w:pStyle w:val="a0"/>
        <w:rPr>
          <w:lang w:val="el-GR"/>
        </w:rPr>
      </w:pPr>
    </w:p>
    <w:p w14:paraId="493B626A" w14:textId="77777777" w:rsidR="001C21B9" w:rsidRPr="00142FBA" w:rsidRDefault="00EF572D" w:rsidP="00C57997">
      <w:pPr>
        <w:ind w:firstLine="0"/>
        <w:jc w:val="center"/>
        <w:rPr>
          <w:b/>
          <w:lang w:val="el-GR"/>
        </w:rPr>
      </w:pPr>
      <w:r w:rsidRPr="00142FBA">
        <w:rPr>
          <w:b/>
          <w:lang w:val="el-GR"/>
        </w:rPr>
        <w:t>Σπάρτη</w:t>
      </w:r>
    </w:p>
    <w:p w14:paraId="063B62A4" w14:textId="25FA1E05" w:rsidR="00EF572D" w:rsidRPr="00F85B59" w:rsidRDefault="00D07A65" w:rsidP="00C57997">
      <w:pPr>
        <w:ind w:firstLine="0"/>
        <w:jc w:val="center"/>
        <w:rPr>
          <w:b/>
          <w:lang w:val="el-GR"/>
        </w:rPr>
      </w:pPr>
      <w:r>
        <w:rPr>
          <w:b/>
          <w:lang w:val="el-GR"/>
        </w:rPr>
        <w:t>2021</w:t>
      </w:r>
    </w:p>
    <w:p w14:paraId="2F43D0CC" w14:textId="77777777" w:rsidR="00EF572D" w:rsidRPr="00142FBA" w:rsidRDefault="00EF572D" w:rsidP="00C57997">
      <w:pPr>
        <w:jc w:val="center"/>
        <w:rPr>
          <w:b/>
          <w:lang w:val="el-GR"/>
        </w:rPr>
      </w:pPr>
    </w:p>
    <w:p w14:paraId="252D94E0" w14:textId="77777777" w:rsidR="00C04D89" w:rsidRDefault="00C04D89" w:rsidP="00C57997">
      <w:pPr>
        <w:pStyle w:val="a0"/>
        <w:rPr>
          <w:lang w:val="el-GR"/>
        </w:rPr>
      </w:pPr>
    </w:p>
    <w:p w14:paraId="60B51E0E" w14:textId="0DEEA352" w:rsidR="00C04D89" w:rsidRDefault="00C04D89" w:rsidP="00C57997">
      <w:pPr>
        <w:pStyle w:val="a0"/>
        <w:rPr>
          <w:lang w:val="el-GR"/>
        </w:rPr>
      </w:pPr>
    </w:p>
    <w:p w14:paraId="16FC3CA9" w14:textId="77777777" w:rsidR="00FC1A82" w:rsidRDefault="00FC1A82" w:rsidP="00C57997">
      <w:pPr>
        <w:pStyle w:val="a0"/>
        <w:rPr>
          <w:lang w:val="el-GR"/>
        </w:rPr>
      </w:pPr>
    </w:p>
    <w:p w14:paraId="16DB4564" w14:textId="77777777" w:rsidR="00D07A65" w:rsidRDefault="00D07A65" w:rsidP="00C57997">
      <w:pPr>
        <w:pStyle w:val="a0"/>
        <w:ind w:firstLine="0"/>
        <w:rPr>
          <w:lang w:val="el-GR"/>
        </w:rPr>
      </w:pPr>
    </w:p>
    <w:p w14:paraId="36BE541A" w14:textId="77777777" w:rsidR="00EF572D" w:rsidRDefault="00C04D89" w:rsidP="00C57997">
      <w:pPr>
        <w:pStyle w:val="a0"/>
        <w:jc w:val="right"/>
        <w:rPr>
          <w:lang w:val="el-GR"/>
        </w:rPr>
      </w:pPr>
      <w:r>
        <w:rPr>
          <w:lang w:val="el-GR"/>
        </w:rPr>
        <w:t xml:space="preserve">Εγκεκριμένο από </w:t>
      </w:r>
      <w:r w:rsidR="00EE7A28">
        <w:rPr>
          <w:lang w:val="el-GR"/>
        </w:rPr>
        <w:t>την Εξεταστική Επιτροπή</w:t>
      </w:r>
      <w:r w:rsidR="00EF572D">
        <w:rPr>
          <w:lang w:val="el-GR"/>
        </w:rPr>
        <w:t>:</w:t>
      </w:r>
    </w:p>
    <w:tbl>
      <w:tblPr>
        <w:tblStyle w:val="aa"/>
        <w:tblW w:w="0" w:type="auto"/>
        <w:tblInd w:w="1985" w:type="dxa"/>
        <w:tblLook w:val="04A0" w:firstRow="1" w:lastRow="0" w:firstColumn="1" w:lastColumn="0" w:noHBand="0" w:noVBand="1"/>
      </w:tblPr>
      <w:tblGrid>
        <w:gridCol w:w="6739"/>
      </w:tblGrid>
      <w:tr w:rsidR="00E83B51" w14:paraId="15E47140" w14:textId="77777777" w:rsidTr="001C21B9">
        <w:trPr>
          <w:trHeight w:val="600"/>
        </w:trPr>
        <w:tc>
          <w:tcPr>
            <w:tcW w:w="6739" w:type="dxa"/>
            <w:tcBorders>
              <w:left w:val="nil"/>
              <w:bottom w:val="single" w:sz="4" w:space="0" w:color="auto"/>
              <w:right w:val="nil"/>
            </w:tcBorders>
          </w:tcPr>
          <w:p w14:paraId="3EAD3559" w14:textId="58B2D6A7" w:rsidR="00E83B51" w:rsidRPr="00C04D89" w:rsidRDefault="00E83B51" w:rsidP="00C57997">
            <w:pPr>
              <w:pStyle w:val="a0"/>
              <w:ind w:firstLine="0"/>
              <w:jc w:val="left"/>
              <w:rPr>
                <w:szCs w:val="24"/>
                <w:lang w:val="el-GR"/>
              </w:rPr>
            </w:pPr>
            <w:r w:rsidRPr="00E83B51">
              <w:rPr>
                <w:szCs w:val="24"/>
                <w:lang w:val="el-GR"/>
              </w:rPr>
              <w:t>Επιβλέπων</w:t>
            </w:r>
            <w:r w:rsidR="000C7456">
              <w:rPr>
                <w:szCs w:val="24"/>
              </w:rPr>
              <w:t xml:space="preserve">: </w:t>
            </w:r>
            <w:r w:rsidR="000C7456">
              <w:rPr>
                <w:szCs w:val="24"/>
                <w:lang w:val="el-GR"/>
              </w:rPr>
              <w:t>Δημητρόπουλος Παναγιώτης</w:t>
            </w:r>
            <w:r w:rsidR="00C57997">
              <w:rPr>
                <w:szCs w:val="24"/>
                <w:lang w:val="el-GR"/>
              </w:rPr>
              <w:t>, ΕΕΠ</w:t>
            </w:r>
          </w:p>
        </w:tc>
      </w:tr>
      <w:tr w:rsidR="00E83B51" w:rsidRPr="00C57997" w14:paraId="67D94E4F" w14:textId="77777777" w:rsidTr="001C21B9">
        <w:trPr>
          <w:trHeight w:val="566"/>
        </w:trPr>
        <w:tc>
          <w:tcPr>
            <w:tcW w:w="6739" w:type="dxa"/>
            <w:tcBorders>
              <w:top w:val="single" w:sz="4" w:space="0" w:color="auto"/>
              <w:left w:val="nil"/>
              <w:bottom w:val="single" w:sz="4" w:space="0" w:color="auto"/>
              <w:right w:val="nil"/>
            </w:tcBorders>
          </w:tcPr>
          <w:p w14:paraId="77D95686" w14:textId="1338B7F8" w:rsidR="00E83B51" w:rsidRPr="00E83B51" w:rsidRDefault="00EE7A28" w:rsidP="00C57997">
            <w:pPr>
              <w:pStyle w:val="a0"/>
              <w:ind w:firstLine="0"/>
              <w:jc w:val="left"/>
              <w:rPr>
                <w:szCs w:val="24"/>
                <w:lang w:val="el-GR"/>
              </w:rPr>
            </w:pPr>
            <w:r>
              <w:rPr>
                <w:szCs w:val="24"/>
                <w:lang w:val="el-GR"/>
              </w:rPr>
              <w:t>2</w:t>
            </w:r>
            <w:r w:rsidRPr="00EE7A28">
              <w:rPr>
                <w:szCs w:val="24"/>
                <w:vertAlign w:val="superscript"/>
                <w:lang w:val="el-GR"/>
              </w:rPr>
              <w:t>ο</w:t>
            </w:r>
            <w:r>
              <w:rPr>
                <w:szCs w:val="24"/>
                <w:lang w:val="el-GR"/>
              </w:rPr>
              <w:t xml:space="preserve"> Μέλος</w:t>
            </w:r>
            <w:r w:rsidR="00E83B51" w:rsidRPr="00E83B51">
              <w:rPr>
                <w:szCs w:val="24"/>
                <w:lang w:val="el-GR"/>
              </w:rPr>
              <w:t>:</w:t>
            </w:r>
            <w:r w:rsidR="00C04D89">
              <w:rPr>
                <w:szCs w:val="24"/>
                <w:lang w:val="el-GR"/>
              </w:rPr>
              <w:t xml:space="preserve"> </w:t>
            </w:r>
            <w:r w:rsidR="000C7456">
              <w:rPr>
                <w:szCs w:val="24"/>
                <w:lang w:val="el-GR"/>
              </w:rPr>
              <w:t>Αυγερινού Βασιλική</w:t>
            </w:r>
            <w:r w:rsidR="00C57997">
              <w:rPr>
                <w:szCs w:val="24"/>
                <w:lang w:val="el-GR"/>
              </w:rPr>
              <w:t xml:space="preserve">, </w:t>
            </w:r>
            <w:proofErr w:type="spellStart"/>
            <w:r w:rsidR="00C57997">
              <w:rPr>
                <w:szCs w:val="24"/>
                <w:lang w:val="el-GR"/>
              </w:rPr>
              <w:t>Αναπλ</w:t>
            </w:r>
            <w:proofErr w:type="spellEnd"/>
            <w:r w:rsidR="00C57997">
              <w:rPr>
                <w:szCs w:val="24"/>
                <w:lang w:val="el-GR"/>
              </w:rPr>
              <w:t>. Καθηγήτρια</w:t>
            </w:r>
            <w:r w:rsidR="000C7456">
              <w:rPr>
                <w:szCs w:val="24"/>
                <w:lang w:val="el-GR"/>
              </w:rPr>
              <w:t xml:space="preserve"> </w:t>
            </w:r>
          </w:p>
        </w:tc>
      </w:tr>
      <w:tr w:rsidR="00E83B51" w:rsidRPr="000C7456" w14:paraId="4B83FEBB" w14:textId="77777777" w:rsidTr="001C21B9">
        <w:trPr>
          <w:trHeight w:val="404"/>
        </w:trPr>
        <w:tc>
          <w:tcPr>
            <w:tcW w:w="6739" w:type="dxa"/>
            <w:tcBorders>
              <w:top w:val="single" w:sz="4" w:space="0" w:color="auto"/>
              <w:left w:val="nil"/>
              <w:bottom w:val="nil"/>
              <w:right w:val="nil"/>
            </w:tcBorders>
          </w:tcPr>
          <w:p w14:paraId="169E21D1" w14:textId="6179D8D6" w:rsidR="00E83B51" w:rsidRPr="00E83B51" w:rsidRDefault="00EE7A28" w:rsidP="00C57997">
            <w:pPr>
              <w:pStyle w:val="a0"/>
              <w:ind w:firstLine="0"/>
              <w:jc w:val="left"/>
              <w:rPr>
                <w:szCs w:val="24"/>
                <w:lang w:val="el-GR"/>
              </w:rPr>
            </w:pPr>
            <w:r>
              <w:rPr>
                <w:szCs w:val="24"/>
                <w:lang w:val="el-GR"/>
              </w:rPr>
              <w:t>3</w:t>
            </w:r>
            <w:r w:rsidRPr="00EE7A28">
              <w:rPr>
                <w:szCs w:val="24"/>
                <w:vertAlign w:val="superscript"/>
                <w:lang w:val="el-GR"/>
              </w:rPr>
              <w:t>ο</w:t>
            </w:r>
            <w:r>
              <w:rPr>
                <w:szCs w:val="24"/>
                <w:lang w:val="el-GR"/>
              </w:rPr>
              <w:t xml:space="preserve"> Μέλος</w:t>
            </w:r>
            <w:r w:rsidR="00E83B51" w:rsidRPr="00E83B51">
              <w:rPr>
                <w:szCs w:val="24"/>
                <w:lang w:val="el-GR"/>
              </w:rPr>
              <w:t>:</w:t>
            </w:r>
            <w:r w:rsidR="00C04D89">
              <w:rPr>
                <w:szCs w:val="24"/>
                <w:lang w:val="el-GR"/>
              </w:rPr>
              <w:t xml:space="preserve"> </w:t>
            </w:r>
            <w:r w:rsidR="000C7456">
              <w:rPr>
                <w:szCs w:val="24"/>
                <w:lang w:val="el-GR"/>
              </w:rPr>
              <w:t>Βρόντου Ουρανία</w:t>
            </w:r>
            <w:r w:rsidR="00C57997">
              <w:rPr>
                <w:szCs w:val="24"/>
                <w:lang w:val="el-GR"/>
              </w:rPr>
              <w:t xml:space="preserve">, </w:t>
            </w:r>
            <w:proofErr w:type="spellStart"/>
            <w:r w:rsidR="00C57997" w:rsidRPr="00C57997">
              <w:rPr>
                <w:szCs w:val="24"/>
                <w:lang w:val="el-GR"/>
              </w:rPr>
              <w:t>Αναπλ</w:t>
            </w:r>
            <w:proofErr w:type="spellEnd"/>
            <w:r w:rsidR="00C57997" w:rsidRPr="00C57997">
              <w:rPr>
                <w:szCs w:val="24"/>
                <w:lang w:val="el-GR"/>
              </w:rPr>
              <w:t>. Καθηγήτρια</w:t>
            </w:r>
            <w:r w:rsidR="00C04D89">
              <w:rPr>
                <w:szCs w:val="24"/>
                <w:lang w:val="el-GR"/>
              </w:rPr>
              <w:t xml:space="preserve"> </w:t>
            </w:r>
          </w:p>
        </w:tc>
      </w:tr>
      <w:bookmarkEnd w:id="1"/>
    </w:tbl>
    <w:p w14:paraId="21D0216E" w14:textId="77777777" w:rsidR="00BD24F7" w:rsidRPr="000C7456" w:rsidRDefault="00BD24F7">
      <w:pPr>
        <w:spacing w:line="240" w:lineRule="auto"/>
        <w:ind w:firstLine="0"/>
        <w:jc w:val="left"/>
        <w:rPr>
          <w:lang w:val="el-GR"/>
        </w:rPr>
      </w:pPr>
    </w:p>
    <w:p w14:paraId="489F361A" w14:textId="77777777" w:rsidR="00C200B1" w:rsidRPr="000C7456" w:rsidRDefault="00BD24F7">
      <w:pPr>
        <w:spacing w:line="240" w:lineRule="auto"/>
        <w:ind w:firstLine="0"/>
        <w:jc w:val="left"/>
        <w:rPr>
          <w:lang w:val="el-GR"/>
        </w:rPr>
      </w:pPr>
      <w:r w:rsidRPr="000C7456">
        <w:rPr>
          <w:lang w:val="el-GR"/>
        </w:rPr>
        <w:lastRenderedPageBreak/>
        <w:br w:type="page"/>
      </w:r>
    </w:p>
    <w:p w14:paraId="1EEB65AE" w14:textId="77777777" w:rsidR="00C200B1" w:rsidRPr="00C200B1" w:rsidRDefault="00C200B1" w:rsidP="00C200B1">
      <w:pPr>
        <w:spacing w:line="240" w:lineRule="auto"/>
        <w:ind w:firstLine="0"/>
        <w:jc w:val="center"/>
        <w:rPr>
          <w:b/>
          <w:lang w:val="el-GR"/>
        </w:rPr>
      </w:pPr>
      <w:r w:rsidRPr="00C200B1">
        <w:rPr>
          <w:b/>
          <w:lang w:val="el-GR"/>
        </w:rPr>
        <w:lastRenderedPageBreak/>
        <w:t>Υπεύθυνη Δήλωση</w:t>
      </w:r>
    </w:p>
    <w:p w14:paraId="47A87CB5" w14:textId="77777777" w:rsidR="00C200B1" w:rsidRPr="00C200B1" w:rsidRDefault="00C200B1" w:rsidP="00C200B1">
      <w:pPr>
        <w:spacing w:line="240" w:lineRule="auto"/>
        <w:ind w:firstLine="0"/>
        <w:jc w:val="center"/>
        <w:rPr>
          <w:lang w:val="el-GR"/>
        </w:rPr>
      </w:pPr>
    </w:p>
    <w:p w14:paraId="25C503F2" w14:textId="77777777" w:rsidR="00C200B1" w:rsidRPr="00C200B1" w:rsidRDefault="00C200B1" w:rsidP="00C200B1">
      <w:pPr>
        <w:spacing w:line="240" w:lineRule="auto"/>
        <w:ind w:firstLine="0"/>
        <w:rPr>
          <w:lang w:val="el-GR"/>
        </w:rPr>
      </w:pPr>
      <w:r w:rsidRPr="00C200B1">
        <w:rPr>
          <w:lang w:val="el-GR"/>
        </w:rPr>
        <w:t xml:space="preserve">Με ατομική μου ευθύνη και γνωρίζοντας τις κυρώσεις που προβλέπονται από τις διατάξεις του άρθρου </w:t>
      </w:r>
      <w:r w:rsidR="00B906E0">
        <w:rPr>
          <w:lang w:val="el-GR"/>
        </w:rPr>
        <w:t>18</w:t>
      </w:r>
      <w:r w:rsidRPr="00C200B1">
        <w:rPr>
          <w:lang w:val="el-GR"/>
        </w:rPr>
        <w:t xml:space="preserve"> (</w:t>
      </w:r>
      <w:r w:rsidR="00B906E0">
        <w:rPr>
          <w:lang w:val="el-GR"/>
        </w:rPr>
        <w:t>Λόγοι και διαδικασία διαγραφής από το ΠΜΣ</w:t>
      </w:r>
      <w:r w:rsidRPr="00C200B1">
        <w:rPr>
          <w:lang w:val="el-GR"/>
        </w:rPr>
        <w:t>) του Κανονισμού Λειτουργίας Προγράμματος Μεταπτυχιακών Σπουδών, δηλώνω υπεύθυνα ότι για</w:t>
      </w:r>
      <w:r w:rsidR="00177F36">
        <w:rPr>
          <w:lang w:val="el-GR"/>
        </w:rPr>
        <w:t xml:space="preserve"> τη συγγραφή της Μεταπτυχιακής </w:t>
      </w:r>
      <w:r w:rsidRPr="00C200B1">
        <w:rPr>
          <w:lang w:val="el-GR"/>
        </w:rPr>
        <w:t>Διπλωματικής μου Εργασίας</w:t>
      </w:r>
      <w:r w:rsidR="00177F36">
        <w:rPr>
          <w:lang w:val="el-GR"/>
        </w:rPr>
        <w:t xml:space="preserve"> </w:t>
      </w:r>
      <w:r w:rsidRPr="00C200B1">
        <w:rPr>
          <w:lang w:val="el-GR"/>
        </w:rPr>
        <w:t>(ΜΔΕ) δεν χρησιμοποίησα ολόκληρο ή μέρος έργου άλλου δημιουργού ή τις ιδέες και αντιλήψεις άλλου δημιουργού χωρίς να γίνεται αναφορά στην πηγή προέλευσης (βιβλίο, άρθρο από εφημερίδα ή περιοδικό, ιστοσελίδα κλπ.).</w:t>
      </w:r>
    </w:p>
    <w:p w14:paraId="12352CBD" w14:textId="77777777" w:rsidR="00C200B1" w:rsidRPr="00C200B1" w:rsidRDefault="00C200B1" w:rsidP="00C200B1">
      <w:pPr>
        <w:spacing w:line="240" w:lineRule="auto"/>
        <w:ind w:firstLine="0"/>
        <w:jc w:val="center"/>
        <w:rPr>
          <w:lang w:val="el-GR"/>
        </w:rPr>
      </w:pPr>
    </w:p>
    <w:p w14:paraId="1D020FA0" w14:textId="77777777" w:rsidR="00C200B1" w:rsidRPr="00C200B1" w:rsidRDefault="00C200B1" w:rsidP="00C200B1">
      <w:pPr>
        <w:spacing w:line="240" w:lineRule="auto"/>
        <w:ind w:firstLine="0"/>
        <w:jc w:val="center"/>
        <w:rPr>
          <w:lang w:val="el-GR"/>
        </w:rPr>
      </w:pPr>
    </w:p>
    <w:p w14:paraId="731E331B" w14:textId="037D0E42" w:rsidR="00C200B1" w:rsidRPr="00C200B1" w:rsidRDefault="00C200B1" w:rsidP="00C200B1">
      <w:pPr>
        <w:spacing w:line="240" w:lineRule="auto"/>
        <w:ind w:firstLine="0"/>
        <w:jc w:val="center"/>
        <w:rPr>
          <w:lang w:val="el-GR"/>
        </w:rPr>
      </w:pPr>
      <w:r w:rsidRPr="00C200B1">
        <w:rPr>
          <w:lang w:val="el-GR"/>
        </w:rPr>
        <w:t xml:space="preserve">Ημερομηνία: </w:t>
      </w:r>
      <w:r w:rsidR="00C57997">
        <w:rPr>
          <w:lang w:val="el-GR"/>
        </w:rPr>
        <w:t>15/01</w:t>
      </w:r>
      <w:r w:rsidR="002C56FE">
        <w:rPr>
          <w:lang w:val="el-GR"/>
        </w:rPr>
        <w:t>/2022</w:t>
      </w:r>
    </w:p>
    <w:p w14:paraId="689B85AC" w14:textId="77777777" w:rsidR="00C200B1" w:rsidRPr="00C200B1" w:rsidRDefault="00C200B1" w:rsidP="00C200B1">
      <w:pPr>
        <w:spacing w:line="240" w:lineRule="auto"/>
        <w:ind w:firstLine="0"/>
        <w:jc w:val="center"/>
        <w:rPr>
          <w:lang w:val="el-GR"/>
        </w:rPr>
      </w:pPr>
    </w:p>
    <w:p w14:paraId="316402DC" w14:textId="53D7CFEF" w:rsidR="00C200B1" w:rsidRPr="00C200B1" w:rsidRDefault="00C57997" w:rsidP="00C200B1">
      <w:pPr>
        <w:spacing w:line="240" w:lineRule="auto"/>
        <w:ind w:firstLine="0"/>
        <w:jc w:val="center"/>
        <w:rPr>
          <w:lang w:val="el-GR"/>
        </w:rPr>
      </w:pPr>
      <w:r>
        <w:rPr>
          <w:lang w:val="el-GR"/>
        </w:rPr>
        <w:t>Η Δηλούσα</w:t>
      </w:r>
    </w:p>
    <w:p w14:paraId="79D076D6" w14:textId="77777777" w:rsidR="00C57997" w:rsidRDefault="00C57997" w:rsidP="00C57997">
      <w:pPr>
        <w:spacing w:line="240" w:lineRule="auto"/>
        <w:ind w:firstLine="0"/>
        <w:jc w:val="center"/>
        <w:rPr>
          <w:lang w:val="el-GR"/>
        </w:rPr>
      </w:pPr>
    </w:p>
    <w:p w14:paraId="64CE708F" w14:textId="4F01240A" w:rsidR="00C200B1" w:rsidRPr="00C200B1" w:rsidRDefault="00C57997" w:rsidP="00C57997">
      <w:pPr>
        <w:spacing w:line="240" w:lineRule="auto"/>
        <w:ind w:firstLine="0"/>
        <w:jc w:val="center"/>
        <w:rPr>
          <w:lang w:val="el-GR"/>
        </w:rPr>
      </w:pPr>
      <w:r>
        <w:rPr>
          <w:lang w:val="el-GR"/>
        </w:rPr>
        <w:t>Σταυρούλα</w:t>
      </w:r>
      <w:r w:rsidRPr="00C57997">
        <w:rPr>
          <w:lang w:val="el-GR"/>
        </w:rPr>
        <w:t xml:space="preserve"> </w:t>
      </w:r>
      <w:proofErr w:type="spellStart"/>
      <w:r w:rsidRPr="00C57997">
        <w:rPr>
          <w:lang w:val="el-GR"/>
        </w:rPr>
        <w:t>Ζαγανά</w:t>
      </w:r>
      <w:proofErr w:type="spellEnd"/>
    </w:p>
    <w:p w14:paraId="5EC11875" w14:textId="77777777" w:rsidR="00C200B1" w:rsidRPr="00C200B1" w:rsidRDefault="00C200B1" w:rsidP="00C200B1">
      <w:pPr>
        <w:spacing w:line="240" w:lineRule="auto"/>
        <w:ind w:firstLine="0"/>
        <w:jc w:val="left"/>
        <w:rPr>
          <w:lang w:val="el-GR"/>
        </w:rPr>
      </w:pPr>
    </w:p>
    <w:p w14:paraId="30D419AB" w14:textId="6843D9D3" w:rsidR="00C200B1" w:rsidRPr="00C200B1" w:rsidRDefault="00C200B1" w:rsidP="00C200B1">
      <w:pPr>
        <w:spacing w:line="240" w:lineRule="auto"/>
        <w:ind w:firstLine="0"/>
        <w:jc w:val="center"/>
        <w:rPr>
          <w:lang w:val="el-GR"/>
        </w:rPr>
      </w:pPr>
      <w:r w:rsidRPr="00C200B1">
        <w:rPr>
          <w:lang w:val="el-GR"/>
        </w:rPr>
        <w:br w:type="page"/>
      </w:r>
    </w:p>
    <w:p w14:paraId="53E994CE" w14:textId="77777777" w:rsidR="00BD24F7" w:rsidRPr="00C200B1" w:rsidRDefault="00BD24F7">
      <w:pPr>
        <w:spacing w:line="240" w:lineRule="auto"/>
        <w:ind w:firstLine="0"/>
        <w:jc w:val="left"/>
        <w:rPr>
          <w:lang w:val="el-GR"/>
        </w:rPr>
      </w:pPr>
    </w:p>
    <w:p w14:paraId="42FE7AF4" w14:textId="77777777" w:rsidR="003E6442" w:rsidRPr="00C200B1" w:rsidRDefault="003E6442">
      <w:pPr>
        <w:spacing w:line="240" w:lineRule="auto"/>
        <w:ind w:firstLine="0"/>
        <w:jc w:val="left"/>
        <w:rPr>
          <w:lang w:val="el-GR"/>
        </w:rPr>
      </w:pPr>
    </w:p>
    <w:p w14:paraId="37BFAD7F" w14:textId="77777777" w:rsidR="00D402A5" w:rsidRDefault="00D402A5" w:rsidP="00D402A5">
      <w:pPr>
        <w:spacing w:line="240" w:lineRule="auto"/>
        <w:ind w:firstLine="0"/>
        <w:jc w:val="left"/>
        <w:rPr>
          <w:lang w:val="el-GR"/>
        </w:rPr>
      </w:pPr>
    </w:p>
    <w:p w14:paraId="4F6FA638" w14:textId="77777777" w:rsidR="00D402A5" w:rsidRDefault="00D402A5" w:rsidP="00D402A5">
      <w:pPr>
        <w:spacing w:line="240" w:lineRule="auto"/>
        <w:ind w:firstLine="0"/>
        <w:jc w:val="left"/>
        <w:rPr>
          <w:lang w:val="el-GR"/>
        </w:rPr>
      </w:pPr>
    </w:p>
    <w:p w14:paraId="09489E52" w14:textId="77777777" w:rsidR="00D402A5" w:rsidRDefault="00D402A5" w:rsidP="00D402A5">
      <w:pPr>
        <w:spacing w:line="240" w:lineRule="auto"/>
        <w:ind w:firstLine="0"/>
        <w:jc w:val="left"/>
        <w:rPr>
          <w:lang w:val="el-GR"/>
        </w:rPr>
      </w:pPr>
    </w:p>
    <w:p w14:paraId="41EE5973" w14:textId="77777777" w:rsidR="00D402A5" w:rsidRDefault="00D402A5" w:rsidP="00D402A5">
      <w:pPr>
        <w:spacing w:line="240" w:lineRule="auto"/>
        <w:ind w:firstLine="0"/>
        <w:jc w:val="left"/>
        <w:rPr>
          <w:lang w:val="el-GR"/>
        </w:rPr>
      </w:pPr>
    </w:p>
    <w:p w14:paraId="6FEA6A50" w14:textId="77777777" w:rsidR="00D402A5" w:rsidRDefault="00D402A5" w:rsidP="00D402A5">
      <w:pPr>
        <w:spacing w:line="240" w:lineRule="auto"/>
        <w:ind w:firstLine="0"/>
        <w:jc w:val="left"/>
        <w:rPr>
          <w:lang w:val="el-GR"/>
        </w:rPr>
      </w:pPr>
    </w:p>
    <w:p w14:paraId="0EFD8197" w14:textId="77777777" w:rsidR="00D402A5" w:rsidRDefault="00D402A5" w:rsidP="00D402A5">
      <w:pPr>
        <w:spacing w:line="240" w:lineRule="auto"/>
        <w:ind w:firstLine="0"/>
        <w:jc w:val="left"/>
        <w:rPr>
          <w:lang w:val="el-GR"/>
        </w:rPr>
      </w:pPr>
    </w:p>
    <w:p w14:paraId="2E614184" w14:textId="77777777" w:rsidR="00D402A5" w:rsidRDefault="00D402A5" w:rsidP="00D402A5">
      <w:pPr>
        <w:spacing w:line="240" w:lineRule="auto"/>
        <w:ind w:firstLine="0"/>
        <w:jc w:val="left"/>
        <w:rPr>
          <w:lang w:val="el-GR"/>
        </w:rPr>
      </w:pPr>
    </w:p>
    <w:p w14:paraId="641B3F9D" w14:textId="77777777" w:rsidR="00D402A5" w:rsidRDefault="00D402A5" w:rsidP="00D402A5">
      <w:pPr>
        <w:spacing w:line="240" w:lineRule="auto"/>
        <w:ind w:firstLine="0"/>
        <w:jc w:val="left"/>
        <w:rPr>
          <w:lang w:val="el-GR"/>
        </w:rPr>
      </w:pPr>
    </w:p>
    <w:p w14:paraId="04646200" w14:textId="77777777" w:rsidR="00D402A5" w:rsidRDefault="00D402A5" w:rsidP="00D402A5">
      <w:pPr>
        <w:spacing w:line="240" w:lineRule="auto"/>
        <w:ind w:firstLine="0"/>
        <w:jc w:val="left"/>
        <w:rPr>
          <w:lang w:val="el-GR"/>
        </w:rPr>
      </w:pPr>
    </w:p>
    <w:p w14:paraId="1A10460F" w14:textId="77777777" w:rsidR="00D402A5" w:rsidRDefault="00D402A5" w:rsidP="00D402A5">
      <w:pPr>
        <w:spacing w:line="240" w:lineRule="auto"/>
        <w:ind w:firstLine="0"/>
        <w:jc w:val="left"/>
        <w:rPr>
          <w:lang w:val="el-GR"/>
        </w:rPr>
      </w:pPr>
    </w:p>
    <w:p w14:paraId="7D5C7FCB" w14:textId="77777777" w:rsidR="00D402A5" w:rsidRDefault="00D402A5" w:rsidP="00D402A5">
      <w:pPr>
        <w:spacing w:line="240" w:lineRule="auto"/>
        <w:ind w:firstLine="0"/>
        <w:jc w:val="left"/>
        <w:rPr>
          <w:lang w:val="el-GR"/>
        </w:rPr>
      </w:pPr>
    </w:p>
    <w:p w14:paraId="609F807C" w14:textId="77777777" w:rsidR="00D402A5" w:rsidRDefault="00D402A5" w:rsidP="00D402A5">
      <w:pPr>
        <w:spacing w:line="240" w:lineRule="auto"/>
        <w:ind w:firstLine="0"/>
        <w:jc w:val="left"/>
        <w:rPr>
          <w:lang w:val="el-GR"/>
        </w:rPr>
      </w:pPr>
    </w:p>
    <w:p w14:paraId="62110B0F" w14:textId="77777777" w:rsidR="00D402A5" w:rsidRDefault="00D402A5" w:rsidP="00D402A5">
      <w:pPr>
        <w:spacing w:line="240" w:lineRule="auto"/>
        <w:ind w:firstLine="0"/>
        <w:jc w:val="left"/>
        <w:rPr>
          <w:lang w:val="el-GR"/>
        </w:rPr>
      </w:pPr>
    </w:p>
    <w:p w14:paraId="42E21B83" w14:textId="77777777" w:rsidR="00D402A5" w:rsidRDefault="00D402A5" w:rsidP="00D402A5">
      <w:pPr>
        <w:spacing w:line="240" w:lineRule="auto"/>
        <w:ind w:firstLine="0"/>
        <w:jc w:val="left"/>
        <w:rPr>
          <w:lang w:val="el-GR"/>
        </w:rPr>
      </w:pPr>
    </w:p>
    <w:p w14:paraId="77463AFE" w14:textId="77777777" w:rsidR="00D402A5" w:rsidRDefault="00D402A5" w:rsidP="00D402A5">
      <w:pPr>
        <w:spacing w:line="240" w:lineRule="auto"/>
        <w:ind w:firstLine="0"/>
        <w:jc w:val="left"/>
        <w:rPr>
          <w:lang w:val="el-GR"/>
        </w:rPr>
      </w:pPr>
    </w:p>
    <w:p w14:paraId="5C520A46" w14:textId="77777777" w:rsidR="00D402A5" w:rsidRDefault="00D402A5" w:rsidP="00D402A5">
      <w:pPr>
        <w:spacing w:line="240" w:lineRule="auto"/>
        <w:ind w:firstLine="0"/>
        <w:jc w:val="left"/>
        <w:rPr>
          <w:lang w:val="el-GR"/>
        </w:rPr>
      </w:pPr>
    </w:p>
    <w:p w14:paraId="5260FDC3" w14:textId="77777777" w:rsidR="00D402A5" w:rsidRDefault="00D402A5" w:rsidP="00D402A5">
      <w:pPr>
        <w:spacing w:line="240" w:lineRule="auto"/>
        <w:ind w:firstLine="0"/>
        <w:jc w:val="left"/>
        <w:rPr>
          <w:lang w:val="el-GR"/>
        </w:rPr>
      </w:pPr>
    </w:p>
    <w:p w14:paraId="6DF415FA" w14:textId="77777777" w:rsidR="00D402A5" w:rsidRDefault="00D402A5" w:rsidP="00D402A5">
      <w:pPr>
        <w:spacing w:line="240" w:lineRule="auto"/>
        <w:ind w:firstLine="0"/>
        <w:jc w:val="left"/>
        <w:rPr>
          <w:lang w:val="el-GR"/>
        </w:rPr>
      </w:pPr>
    </w:p>
    <w:p w14:paraId="47FC067D" w14:textId="77777777" w:rsidR="00D402A5" w:rsidRDefault="00D402A5" w:rsidP="00D402A5">
      <w:pPr>
        <w:spacing w:line="240" w:lineRule="auto"/>
        <w:ind w:firstLine="0"/>
        <w:jc w:val="left"/>
        <w:rPr>
          <w:lang w:val="el-GR"/>
        </w:rPr>
      </w:pPr>
    </w:p>
    <w:p w14:paraId="2A91CE31" w14:textId="77777777" w:rsidR="00D402A5" w:rsidRDefault="00D402A5" w:rsidP="00D402A5">
      <w:pPr>
        <w:spacing w:line="240" w:lineRule="auto"/>
        <w:ind w:firstLine="0"/>
        <w:jc w:val="left"/>
        <w:rPr>
          <w:lang w:val="el-GR"/>
        </w:rPr>
      </w:pPr>
    </w:p>
    <w:p w14:paraId="369FED0B" w14:textId="77777777" w:rsidR="00D402A5" w:rsidRDefault="00D402A5" w:rsidP="00D402A5">
      <w:pPr>
        <w:spacing w:line="240" w:lineRule="auto"/>
        <w:ind w:firstLine="0"/>
        <w:jc w:val="left"/>
        <w:rPr>
          <w:lang w:val="el-GR"/>
        </w:rPr>
      </w:pPr>
    </w:p>
    <w:p w14:paraId="30557E29" w14:textId="77777777" w:rsidR="00D402A5" w:rsidRDefault="00D402A5" w:rsidP="00D402A5">
      <w:pPr>
        <w:spacing w:line="240" w:lineRule="auto"/>
        <w:ind w:firstLine="0"/>
        <w:jc w:val="left"/>
        <w:rPr>
          <w:lang w:val="el-GR"/>
        </w:rPr>
      </w:pPr>
    </w:p>
    <w:p w14:paraId="5AD5C974" w14:textId="77777777" w:rsidR="00D402A5" w:rsidRDefault="00D402A5" w:rsidP="00D402A5">
      <w:pPr>
        <w:spacing w:line="240" w:lineRule="auto"/>
        <w:ind w:firstLine="0"/>
        <w:jc w:val="left"/>
        <w:rPr>
          <w:lang w:val="el-GR"/>
        </w:rPr>
      </w:pPr>
    </w:p>
    <w:p w14:paraId="569E49D2" w14:textId="77777777" w:rsidR="00D402A5" w:rsidRDefault="00D402A5" w:rsidP="00D402A5">
      <w:pPr>
        <w:spacing w:line="240" w:lineRule="auto"/>
        <w:ind w:firstLine="0"/>
        <w:jc w:val="left"/>
        <w:rPr>
          <w:lang w:val="el-GR"/>
        </w:rPr>
      </w:pPr>
    </w:p>
    <w:p w14:paraId="1182DF99" w14:textId="77777777" w:rsidR="00D402A5" w:rsidRDefault="00D402A5" w:rsidP="00D402A5">
      <w:pPr>
        <w:spacing w:line="240" w:lineRule="auto"/>
        <w:ind w:firstLine="0"/>
        <w:jc w:val="left"/>
        <w:rPr>
          <w:lang w:val="el-GR"/>
        </w:rPr>
      </w:pPr>
    </w:p>
    <w:p w14:paraId="64C8B00B" w14:textId="77777777" w:rsidR="00D402A5" w:rsidRDefault="00D402A5" w:rsidP="00D402A5">
      <w:pPr>
        <w:spacing w:line="240" w:lineRule="auto"/>
        <w:ind w:firstLine="0"/>
        <w:jc w:val="left"/>
        <w:rPr>
          <w:lang w:val="el-GR"/>
        </w:rPr>
      </w:pPr>
    </w:p>
    <w:p w14:paraId="0216906F" w14:textId="77777777" w:rsidR="00D402A5" w:rsidRDefault="00D402A5" w:rsidP="00D402A5">
      <w:pPr>
        <w:spacing w:line="240" w:lineRule="auto"/>
        <w:ind w:firstLine="0"/>
        <w:jc w:val="left"/>
        <w:rPr>
          <w:lang w:val="el-GR"/>
        </w:rPr>
      </w:pPr>
    </w:p>
    <w:p w14:paraId="36AF9E28" w14:textId="77777777" w:rsidR="00D402A5" w:rsidRDefault="00D402A5" w:rsidP="00D402A5">
      <w:pPr>
        <w:spacing w:line="240" w:lineRule="auto"/>
        <w:ind w:firstLine="0"/>
        <w:jc w:val="left"/>
        <w:rPr>
          <w:lang w:val="el-GR"/>
        </w:rPr>
      </w:pPr>
    </w:p>
    <w:p w14:paraId="0A534857" w14:textId="77777777" w:rsidR="00C200B1" w:rsidRDefault="00C200B1" w:rsidP="00D402A5">
      <w:pPr>
        <w:spacing w:line="240" w:lineRule="auto"/>
        <w:ind w:firstLine="0"/>
        <w:jc w:val="left"/>
        <w:rPr>
          <w:lang w:val="el-GR"/>
        </w:rPr>
      </w:pPr>
    </w:p>
    <w:p w14:paraId="380AF9FD" w14:textId="77777777" w:rsidR="00C200B1" w:rsidRDefault="00C200B1" w:rsidP="00D402A5">
      <w:pPr>
        <w:spacing w:line="240" w:lineRule="auto"/>
        <w:ind w:firstLine="0"/>
        <w:jc w:val="left"/>
        <w:rPr>
          <w:lang w:val="el-GR"/>
        </w:rPr>
      </w:pPr>
    </w:p>
    <w:p w14:paraId="18252439" w14:textId="77777777" w:rsidR="00C200B1" w:rsidRDefault="00C200B1" w:rsidP="00D402A5">
      <w:pPr>
        <w:spacing w:line="240" w:lineRule="auto"/>
        <w:ind w:firstLine="0"/>
        <w:jc w:val="left"/>
        <w:rPr>
          <w:lang w:val="el-GR"/>
        </w:rPr>
      </w:pPr>
    </w:p>
    <w:p w14:paraId="63EB52DB" w14:textId="77777777" w:rsidR="00D402A5" w:rsidRDefault="00D402A5" w:rsidP="00D402A5">
      <w:pPr>
        <w:spacing w:line="240" w:lineRule="auto"/>
        <w:ind w:firstLine="0"/>
        <w:jc w:val="left"/>
        <w:rPr>
          <w:lang w:val="el-GR"/>
        </w:rPr>
      </w:pPr>
    </w:p>
    <w:p w14:paraId="55D68595" w14:textId="77777777" w:rsidR="00D402A5" w:rsidRDefault="00D402A5" w:rsidP="00D402A5">
      <w:pPr>
        <w:spacing w:line="240" w:lineRule="auto"/>
        <w:ind w:firstLine="0"/>
        <w:jc w:val="left"/>
        <w:rPr>
          <w:lang w:val="el-GR"/>
        </w:rPr>
      </w:pPr>
    </w:p>
    <w:p w14:paraId="21CF7FCB" w14:textId="77777777" w:rsidR="00D402A5" w:rsidRDefault="00D402A5" w:rsidP="00D402A5">
      <w:pPr>
        <w:spacing w:line="240" w:lineRule="auto"/>
        <w:ind w:firstLine="0"/>
        <w:jc w:val="left"/>
        <w:rPr>
          <w:lang w:val="el-GR"/>
        </w:rPr>
      </w:pPr>
    </w:p>
    <w:p w14:paraId="30666058" w14:textId="77777777" w:rsidR="00D402A5" w:rsidRDefault="00D402A5" w:rsidP="00D402A5">
      <w:pPr>
        <w:spacing w:line="240" w:lineRule="auto"/>
        <w:ind w:firstLine="0"/>
        <w:jc w:val="left"/>
        <w:rPr>
          <w:lang w:val="el-GR"/>
        </w:rPr>
      </w:pPr>
    </w:p>
    <w:p w14:paraId="628AE263" w14:textId="77777777" w:rsidR="00D402A5" w:rsidRDefault="00D402A5" w:rsidP="00D402A5">
      <w:pPr>
        <w:spacing w:line="240" w:lineRule="auto"/>
        <w:ind w:firstLine="0"/>
        <w:jc w:val="left"/>
        <w:rPr>
          <w:lang w:val="el-GR"/>
        </w:rPr>
      </w:pPr>
    </w:p>
    <w:p w14:paraId="051BE8AE" w14:textId="77777777" w:rsidR="00D402A5" w:rsidRDefault="00D402A5" w:rsidP="00D402A5">
      <w:pPr>
        <w:spacing w:line="240" w:lineRule="auto"/>
        <w:ind w:firstLine="0"/>
        <w:jc w:val="left"/>
        <w:rPr>
          <w:lang w:val="el-GR"/>
        </w:rPr>
      </w:pPr>
    </w:p>
    <w:p w14:paraId="1ABA003A" w14:textId="77777777" w:rsidR="00D402A5" w:rsidRDefault="00D402A5" w:rsidP="00D402A5">
      <w:pPr>
        <w:spacing w:line="240" w:lineRule="auto"/>
        <w:ind w:firstLine="0"/>
        <w:jc w:val="left"/>
        <w:rPr>
          <w:lang w:val="el-GR"/>
        </w:rPr>
      </w:pPr>
    </w:p>
    <w:p w14:paraId="6CA78091" w14:textId="42398613" w:rsidR="00D402A5" w:rsidRPr="00D07A65" w:rsidRDefault="00D402A5" w:rsidP="00C04D89">
      <w:pPr>
        <w:spacing w:line="240" w:lineRule="auto"/>
        <w:ind w:firstLine="0"/>
        <w:rPr>
          <w:b/>
          <w:i/>
          <w:lang w:val="el-GR"/>
        </w:rPr>
      </w:pPr>
      <w:r w:rsidRPr="00D402A5">
        <w:rPr>
          <w:b/>
          <w:i/>
        </w:rPr>
        <w:t>Copyright</w:t>
      </w:r>
      <w:r w:rsidRPr="00D402A5">
        <w:rPr>
          <w:b/>
          <w:i/>
          <w:lang w:val="el-GR"/>
        </w:rPr>
        <w:t xml:space="preserve"> </w:t>
      </w:r>
      <w:r w:rsidRPr="00D07A65">
        <w:rPr>
          <w:b/>
          <w:i/>
          <w:lang w:val="el-GR"/>
        </w:rPr>
        <w:t xml:space="preserve">© </w:t>
      </w:r>
      <w:r w:rsidR="00D07A65" w:rsidRPr="00D07A65">
        <w:rPr>
          <w:b/>
          <w:i/>
          <w:lang w:val="el-GR"/>
        </w:rPr>
        <w:t>Ζαγανά Σταυρούλα</w:t>
      </w:r>
      <w:r w:rsidRPr="00D07A65">
        <w:rPr>
          <w:b/>
          <w:i/>
          <w:lang w:val="el-GR"/>
        </w:rPr>
        <w:t xml:space="preserve">, </w:t>
      </w:r>
      <w:r w:rsidR="00D07A65" w:rsidRPr="00D07A65">
        <w:rPr>
          <w:b/>
          <w:i/>
          <w:lang w:val="el-GR"/>
        </w:rPr>
        <w:t>2021</w:t>
      </w:r>
    </w:p>
    <w:p w14:paraId="70FC3029" w14:textId="77777777" w:rsidR="00D402A5" w:rsidRPr="00D402A5" w:rsidRDefault="00D402A5" w:rsidP="00C04D89">
      <w:pPr>
        <w:spacing w:line="240" w:lineRule="auto"/>
        <w:ind w:firstLine="0"/>
        <w:rPr>
          <w:b/>
          <w:i/>
          <w:lang w:val="el-GR"/>
        </w:rPr>
      </w:pPr>
      <w:r w:rsidRPr="00D07A65">
        <w:rPr>
          <w:b/>
          <w:i/>
          <w:lang w:val="el-GR"/>
        </w:rPr>
        <w:t>Με επιφύλαξη κάθε δικαιώματος</w:t>
      </w:r>
      <w:r w:rsidRPr="00D402A5">
        <w:rPr>
          <w:b/>
          <w:i/>
          <w:lang w:val="el-GR"/>
        </w:rPr>
        <w:t>.</w:t>
      </w:r>
      <w:r w:rsidR="00A36793">
        <w:rPr>
          <w:b/>
          <w:i/>
          <w:lang w:val="el-GR"/>
        </w:rPr>
        <w:t xml:space="preserve"> </w:t>
      </w:r>
      <w:r w:rsidRPr="00D402A5">
        <w:rPr>
          <w:b/>
          <w:i/>
        </w:rPr>
        <w:t>All</w:t>
      </w:r>
      <w:r w:rsidRPr="00D402A5">
        <w:rPr>
          <w:b/>
          <w:i/>
          <w:lang w:val="el-GR"/>
        </w:rPr>
        <w:t xml:space="preserve"> </w:t>
      </w:r>
      <w:r w:rsidRPr="00D402A5">
        <w:rPr>
          <w:b/>
          <w:i/>
        </w:rPr>
        <w:t>rights</w:t>
      </w:r>
      <w:r w:rsidRPr="00D402A5">
        <w:rPr>
          <w:b/>
          <w:i/>
          <w:lang w:val="el-GR"/>
        </w:rPr>
        <w:t xml:space="preserve"> </w:t>
      </w:r>
      <w:r w:rsidRPr="00D402A5">
        <w:rPr>
          <w:b/>
          <w:i/>
        </w:rPr>
        <w:t>reserved</w:t>
      </w:r>
      <w:r w:rsidRPr="00D402A5">
        <w:rPr>
          <w:b/>
          <w:i/>
          <w:lang w:val="el-GR"/>
        </w:rPr>
        <w:t>.</w:t>
      </w:r>
    </w:p>
    <w:p w14:paraId="15D08DE8" w14:textId="77777777" w:rsidR="00D402A5" w:rsidRPr="00C04D89" w:rsidRDefault="00D402A5" w:rsidP="00C04D89">
      <w:pPr>
        <w:spacing w:line="240" w:lineRule="auto"/>
        <w:ind w:firstLine="0"/>
        <w:rPr>
          <w:sz w:val="20"/>
          <w:lang w:val="el-GR"/>
        </w:rPr>
      </w:pPr>
      <w:r w:rsidRPr="00C04D89">
        <w:rPr>
          <w:sz w:val="20"/>
          <w:lang w:val="el-GR"/>
        </w:rPr>
        <w:t xml:space="preserve">Απαγορεύεται η αντιγραφή, αποθήκευση και διανομή της παρούσας εργασίας, εξ ολοκλήρου ή τμήματος αυτής, για εμπορικό σκοπό. Επιτρέπεται η ανατύπωση, αποθήκευση και διανομή για σκοπό μη κερδοσκοπικό, εκπαιδευτικής ή ερευνητικής φύσης, υπό την προϋπόθεση να αναφέρεται η πηγή προέλευσης και να διατηρείται το παρόν μήνυμα. Ερωτήματα που αφορούν τη χρήση της εργασίας για κερδοσκοπικό σκοπό πρέπει να απευθύνονται προς τον συγγραφέα. </w:t>
      </w:r>
    </w:p>
    <w:p w14:paraId="7CE0BE3E" w14:textId="7F3507A9" w:rsidR="00D402A5" w:rsidRPr="00C04D89" w:rsidRDefault="00D402A5" w:rsidP="00C04D89">
      <w:pPr>
        <w:spacing w:line="240" w:lineRule="auto"/>
        <w:ind w:firstLine="0"/>
        <w:rPr>
          <w:sz w:val="20"/>
          <w:lang w:val="el-GR"/>
        </w:rPr>
      </w:pPr>
      <w:r w:rsidRPr="00C04D89">
        <w:rPr>
          <w:sz w:val="20"/>
          <w:lang w:val="el-GR"/>
        </w:rPr>
        <w:t xml:space="preserve">Οι απόψεις και τα συμπεράσματα που περιέχονται σε αυτό το έγγραφο εκφράζουν τον συγγραφέα και δεν πρέπει να ερμηνευθεί ότι αντιπροσωπεύουν τις επίσημες θέσεις του Πανεπιστημίου Πελοποννήσου του </w:t>
      </w:r>
      <w:r w:rsidRPr="00AF6144">
        <w:rPr>
          <w:sz w:val="20"/>
          <w:lang w:val="el-GR"/>
        </w:rPr>
        <w:t xml:space="preserve">Τμήματος </w:t>
      </w:r>
      <w:r w:rsidR="00AF6144">
        <w:rPr>
          <w:sz w:val="20"/>
          <w:lang w:val="el-GR"/>
        </w:rPr>
        <w:t>Οργάνωσης και Διαχείρισης Αθλητισμού.</w:t>
      </w:r>
    </w:p>
    <w:p w14:paraId="54EF3CDE" w14:textId="77777777" w:rsidR="00C04D89" w:rsidRDefault="00C04D89">
      <w:pPr>
        <w:jc w:val="left"/>
        <w:rPr>
          <w:lang w:val="el-GR"/>
        </w:rPr>
      </w:pPr>
      <w:r>
        <w:rPr>
          <w:lang w:val="el-GR"/>
        </w:rPr>
        <w:br w:type="page"/>
      </w:r>
    </w:p>
    <w:p w14:paraId="78FF03A9" w14:textId="77777777" w:rsidR="00D402A5" w:rsidRDefault="00D402A5">
      <w:pPr>
        <w:spacing w:line="240" w:lineRule="auto"/>
        <w:ind w:firstLine="0"/>
        <w:jc w:val="left"/>
        <w:rPr>
          <w:lang w:val="el-GR"/>
        </w:rPr>
      </w:pPr>
    </w:p>
    <w:p w14:paraId="6A3C63A0" w14:textId="77777777" w:rsidR="005D3399" w:rsidRPr="00C200B1" w:rsidRDefault="00D402A5" w:rsidP="00C57997">
      <w:pPr>
        <w:pStyle w:val="1"/>
      </w:pPr>
      <w:bookmarkStart w:id="4" w:name="bkAbstract"/>
      <w:bookmarkStart w:id="5" w:name="_Toc443485429"/>
      <w:bookmarkEnd w:id="4"/>
      <w:r w:rsidRPr="00C200B1">
        <w:t>ΠΕΡΙΛΗΨΗ</w:t>
      </w:r>
      <w:bookmarkEnd w:id="5"/>
    </w:p>
    <w:p w14:paraId="29C6ED6F" w14:textId="3B1EB08C" w:rsidR="002454E1" w:rsidRPr="002454E1" w:rsidRDefault="00D07A65" w:rsidP="00C57997">
      <w:pPr>
        <w:ind w:firstLine="0"/>
        <w:jc w:val="center"/>
        <w:rPr>
          <w:lang w:val="el-GR"/>
        </w:rPr>
      </w:pPr>
      <w:r w:rsidRPr="00D07A65">
        <w:rPr>
          <w:lang w:val="el-GR"/>
        </w:rPr>
        <w:t>Ζαγανά Σταυρούλα</w:t>
      </w:r>
      <w:r w:rsidR="005A7462" w:rsidRPr="00D07A65">
        <w:rPr>
          <w:lang w:val="el-GR"/>
        </w:rPr>
        <w:t>:</w:t>
      </w:r>
      <w:r w:rsidR="009F4F73" w:rsidRPr="00D07A65">
        <w:rPr>
          <w:lang w:val="el-GR"/>
        </w:rPr>
        <w:t xml:space="preserve"> </w:t>
      </w:r>
      <w:r w:rsidRPr="00D07A65">
        <w:rPr>
          <w:lang w:val="el-GR"/>
        </w:rPr>
        <w:t>Η Σχ</w:t>
      </w:r>
      <w:r>
        <w:rPr>
          <w:lang w:val="el-GR"/>
        </w:rPr>
        <w:t>έ</w:t>
      </w:r>
      <w:r w:rsidRPr="00D07A65">
        <w:rPr>
          <w:lang w:val="el-GR"/>
        </w:rPr>
        <w:t>ση Μεταξ</w:t>
      </w:r>
      <w:r>
        <w:rPr>
          <w:lang w:val="el-GR"/>
        </w:rPr>
        <w:t>ύ</w:t>
      </w:r>
      <w:r w:rsidRPr="00D07A65">
        <w:rPr>
          <w:lang w:val="el-GR"/>
        </w:rPr>
        <w:t xml:space="preserve"> Χρηματοοικονομικ</w:t>
      </w:r>
      <w:r>
        <w:rPr>
          <w:lang w:val="el-GR"/>
        </w:rPr>
        <w:t>ή</w:t>
      </w:r>
      <w:r w:rsidRPr="00D07A65">
        <w:rPr>
          <w:lang w:val="el-GR"/>
        </w:rPr>
        <w:t>ς Απ</w:t>
      </w:r>
      <w:r>
        <w:rPr>
          <w:lang w:val="el-GR"/>
        </w:rPr>
        <w:t>ό</w:t>
      </w:r>
      <w:r w:rsidRPr="00D07A65">
        <w:rPr>
          <w:lang w:val="el-GR"/>
        </w:rPr>
        <w:t xml:space="preserve">δοσης </w:t>
      </w:r>
      <w:r>
        <w:rPr>
          <w:lang w:val="el-GR"/>
        </w:rPr>
        <w:t>κ</w:t>
      </w:r>
      <w:r w:rsidRPr="00D07A65">
        <w:rPr>
          <w:lang w:val="el-GR"/>
        </w:rPr>
        <w:t>αι Απ</w:t>
      </w:r>
      <w:r>
        <w:rPr>
          <w:lang w:val="el-GR"/>
        </w:rPr>
        <w:t>ό</w:t>
      </w:r>
      <w:r w:rsidRPr="00D07A65">
        <w:rPr>
          <w:lang w:val="el-GR"/>
        </w:rPr>
        <w:t xml:space="preserve">δοσης </w:t>
      </w:r>
      <w:r>
        <w:rPr>
          <w:lang w:val="el-GR"/>
        </w:rPr>
        <w:t>τ</w:t>
      </w:r>
      <w:r w:rsidRPr="00D07A65">
        <w:rPr>
          <w:lang w:val="el-GR"/>
        </w:rPr>
        <w:t>ων Τιμ</w:t>
      </w:r>
      <w:r>
        <w:rPr>
          <w:lang w:val="el-GR"/>
        </w:rPr>
        <w:t>ώ</w:t>
      </w:r>
      <w:r w:rsidRPr="00D07A65">
        <w:rPr>
          <w:lang w:val="el-GR"/>
        </w:rPr>
        <w:t xml:space="preserve">ν </w:t>
      </w:r>
      <w:r>
        <w:rPr>
          <w:lang w:val="el-GR"/>
        </w:rPr>
        <w:t>τ</w:t>
      </w:r>
      <w:r w:rsidRPr="00D07A65">
        <w:rPr>
          <w:lang w:val="el-GR"/>
        </w:rPr>
        <w:t>ων Μετοχ</w:t>
      </w:r>
      <w:r>
        <w:rPr>
          <w:lang w:val="el-GR"/>
        </w:rPr>
        <w:t>ώ</w:t>
      </w:r>
      <w:r w:rsidRPr="00D07A65">
        <w:rPr>
          <w:lang w:val="el-GR"/>
        </w:rPr>
        <w:t xml:space="preserve">ν </w:t>
      </w:r>
      <w:r>
        <w:rPr>
          <w:lang w:val="el-GR"/>
        </w:rPr>
        <w:t>σ</w:t>
      </w:r>
      <w:r w:rsidRPr="00D07A65">
        <w:rPr>
          <w:lang w:val="el-GR"/>
        </w:rPr>
        <w:t>τον Χρηματοοικονομικ</w:t>
      </w:r>
      <w:r>
        <w:rPr>
          <w:lang w:val="el-GR"/>
        </w:rPr>
        <w:t>ό</w:t>
      </w:r>
      <w:r w:rsidRPr="00D07A65">
        <w:rPr>
          <w:lang w:val="el-GR"/>
        </w:rPr>
        <w:t xml:space="preserve"> Κλ</w:t>
      </w:r>
      <w:r>
        <w:rPr>
          <w:lang w:val="el-GR"/>
        </w:rPr>
        <w:t>ά</w:t>
      </w:r>
      <w:r w:rsidRPr="00D07A65">
        <w:rPr>
          <w:lang w:val="el-GR"/>
        </w:rPr>
        <w:t>δο.</w:t>
      </w:r>
      <w:r>
        <w:rPr>
          <w:lang w:val="el-GR"/>
        </w:rPr>
        <w:t xml:space="preserve"> </w:t>
      </w:r>
      <w:r w:rsidRPr="00D07A65">
        <w:rPr>
          <w:lang w:val="el-GR"/>
        </w:rPr>
        <w:t>Μελ</w:t>
      </w:r>
      <w:r>
        <w:rPr>
          <w:lang w:val="el-GR"/>
        </w:rPr>
        <w:t>έ</w:t>
      </w:r>
      <w:r w:rsidRPr="00D07A65">
        <w:rPr>
          <w:lang w:val="el-GR"/>
        </w:rPr>
        <w:t>τη Περ</w:t>
      </w:r>
      <w:r>
        <w:rPr>
          <w:lang w:val="el-GR"/>
        </w:rPr>
        <w:t>ί</w:t>
      </w:r>
      <w:r w:rsidRPr="00D07A65">
        <w:rPr>
          <w:lang w:val="el-GR"/>
        </w:rPr>
        <w:t xml:space="preserve">πτωσης </w:t>
      </w:r>
      <w:r>
        <w:rPr>
          <w:lang w:val="el-GR"/>
        </w:rPr>
        <w:t>σ</w:t>
      </w:r>
      <w:r w:rsidRPr="00D07A65">
        <w:rPr>
          <w:lang w:val="el-GR"/>
        </w:rPr>
        <w:t>τις Τ</w:t>
      </w:r>
      <w:r>
        <w:rPr>
          <w:lang w:val="el-GR"/>
        </w:rPr>
        <w:t>έ</w:t>
      </w:r>
      <w:r w:rsidRPr="00D07A65">
        <w:rPr>
          <w:lang w:val="el-GR"/>
        </w:rPr>
        <w:t>σσερις Συστημικ</w:t>
      </w:r>
      <w:r>
        <w:rPr>
          <w:lang w:val="el-GR"/>
        </w:rPr>
        <w:t>έ</w:t>
      </w:r>
      <w:r w:rsidRPr="00D07A65">
        <w:rPr>
          <w:lang w:val="el-GR"/>
        </w:rPr>
        <w:t xml:space="preserve">ς </w:t>
      </w:r>
      <w:r w:rsidR="00B80A2E" w:rsidRPr="00D07A65">
        <w:rPr>
          <w:lang w:val="el-GR"/>
        </w:rPr>
        <w:t>Τρ</w:t>
      </w:r>
      <w:r w:rsidR="00B80A2E">
        <w:rPr>
          <w:lang w:val="el-GR"/>
        </w:rPr>
        <w:t>ά</w:t>
      </w:r>
      <w:r w:rsidR="00B80A2E" w:rsidRPr="00D07A65">
        <w:rPr>
          <w:lang w:val="el-GR"/>
        </w:rPr>
        <w:t>πεζες</w:t>
      </w:r>
      <w:r w:rsidRPr="00D07A65">
        <w:rPr>
          <w:lang w:val="el-GR"/>
        </w:rPr>
        <w:t xml:space="preserve"> </w:t>
      </w:r>
      <w:r>
        <w:rPr>
          <w:lang w:val="el-GR"/>
        </w:rPr>
        <w:t>τ</w:t>
      </w:r>
      <w:r w:rsidRPr="00D07A65">
        <w:rPr>
          <w:lang w:val="el-GR"/>
        </w:rPr>
        <w:t>ης Ελλ</w:t>
      </w:r>
      <w:r>
        <w:rPr>
          <w:lang w:val="el-GR"/>
        </w:rPr>
        <w:t>ά</w:t>
      </w:r>
      <w:r w:rsidRPr="00D07A65">
        <w:rPr>
          <w:lang w:val="el-GR"/>
        </w:rPr>
        <w:t>δας.</w:t>
      </w:r>
    </w:p>
    <w:p w14:paraId="405547B2" w14:textId="25038CDD" w:rsidR="002454E1" w:rsidRPr="002454E1" w:rsidRDefault="002454E1" w:rsidP="00C57997">
      <w:pPr>
        <w:ind w:firstLine="0"/>
        <w:jc w:val="center"/>
        <w:rPr>
          <w:lang w:val="el-GR"/>
        </w:rPr>
      </w:pPr>
      <w:r w:rsidRPr="002454E1">
        <w:rPr>
          <w:lang w:val="el-GR"/>
        </w:rPr>
        <w:t>(Με την επίβλεψη του</w:t>
      </w:r>
      <w:r w:rsidR="000C7456">
        <w:rPr>
          <w:lang w:val="el-GR"/>
        </w:rPr>
        <w:t xml:space="preserve"> Δημητρόπουλου Παναγιώτη</w:t>
      </w:r>
      <w:r w:rsidR="00C57997">
        <w:rPr>
          <w:lang w:val="el-GR"/>
        </w:rPr>
        <w:t>, ΕΕΠ</w:t>
      </w:r>
      <w:r w:rsidR="000C7456">
        <w:rPr>
          <w:lang w:val="el-GR"/>
        </w:rPr>
        <w:t>)</w:t>
      </w:r>
    </w:p>
    <w:p w14:paraId="6C23D485" w14:textId="6980E188" w:rsidR="00D07A65" w:rsidRDefault="00D07A65" w:rsidP="00C57997">
      <w:pPr>
        <w:pBdr>
          <w:top w:val="nil"/>
          <w:left w:val="nil"/>
          <w:bottom w:val="nil"/>
          <w:right w:val="nil"/>
          <w:between w:val="nil"/>
          <w:bar w:val="nil"/>
        </w:pBdr>
        <w:spacing w:before="200" w:after="200"/>
        <w:ind w:firstLine="0"/>
        <w:rPr>
          <w:rFonts w:eastAsia="Arial Unicode MS"/>
          <w:szCs w:val="24"/>
          <w:bdr w:val="nil"/>
          <w:lang w:val="el-GR"/>
        </w:rPr>
      </w:pPr>
      <w:r w:rsidRPr="00D07A65">
        <w:rPr>
          <w:rFonts w:eastAsia="Arial Unicode MS"/>
          <w:szCs w:val="24"/>
          <w:bdr w:val="nil"/>
          <w:lang w:val="el-GR"/>
        </w:rPr>
        <w:t xml:space="preserve">Οι τραπεζικές και οι χρηματιστηριακές αγορές αποτελούν σημαντικά στοιχεία των σύγχρονων οικονομιών. Ενώ, οι μελλοντικές αποδόσεις των τιμών των μετοχών των χρηματοπιστωτικών ιδρυμάτων αποτελεί ένα σημαντικό θέμα έρευνας των αναλυτών, παγκοσμίως. Η παρούσα διπλωματική εργασία εξετάζει τη σχέση ανάμεσα στην χρηματοοικονομική απόδοση και στους χρηματοοικονομικούς κινδύνους, με τις τιμές των μετοχών των τραπεζικών ιδρυμάτων. Ως μελέτη περίπτωσης έχουν παρθεί οι τέσσερις συστημικές ελληνικές τράπεζες (Εθνική Τράπεζα της Ελλάδος, Τράπεζα Πειραιώς, </w:t>
      </w:r>
      <w:r w:rsidRPr="00D07A65">
        <w:rPr>
          <w:rFonts w:eastAsia="Arial Unicode MS"/>
          <w:szCs w:val="24"/>
          <w:bdr w:val="nil"/>
        </w:rPr>
        <w:t>Alpha</w:t>
      </w:r>
      <w:r w:rsidRPr="00D07A65">
        <w:rPr>
          <w:rFonts w:eastAsia="Arial Unicode MS"/>
          <w:szCs w:val="24"/>
          <w:bdr w:val="nil"/>
          <w:lang w:val="el-GR"/>
        </w:rPr>
        <w:t xml:space="preserve"> </w:t>
      </w:r>
      <w:r w:rsidRPr="00D07A65">
        <w:rPr>
          <w:rFonts w:eastAsia="Arial Unicode MS"/>
          <w:szCs w:val="24"/>
          <w:bdr w:val="nil"/>
        </w:rPr>
        <w:t>Bank</w:t>
      </w:r>
      <w:r w:rsidRPr="00D07A65">
        <w:rPr>
          <w:rFonts w:eastAsia="Arial Unicode MS"/>
          <w:szCs w:val="24"/>
          <w:bdr w:val="nil"/>
          <w:lang w:val="el-GR"/>
        </w:rPr>
        <w:t xml:space="preserve">, Τράπεζα </w:t>
      </w:r>
      <w:r w:rsidRPr="00D07A65">
        <w:rPr>
          <w:rFonts w:eastAsia="Arial Unicode MS"/>
          <w:szCs w:val="24"/>
          <w:bdr w:val="nil"/>
        </w:rPr>
        <w:t>Eurobank</w:t>
      </w:r>
      <w:r w:rsidRPr="00D07A65">
        <w:rPr>
          <w:rFonts w:eastAsia="Arial Unicode MS"/>
          <w:szCs w:val="24"/>
          <w:bdr w:val="nil"/>
          <w:lang w:val="el-GR"/>
        </w:rPr>
        <w:t xml:space="preserve"> </w:t>
      </w:r>
      <w:r w:rsidRPr="00D07A65">
        <w:rPr>
          <w:rFonts w:eastAsia="Arial Unicode MS"/>
          <w:szCs w:val="24"/>
          <w:bdr w:val="nil"/>
        </w:rPr>
        <w:t>Ergasias</w:t>
      </w:r>
      <w:r w:rsidRPr="00D07A65">
        <w:rPr>
          <w:rFonts w:eastAsia="Arial Unicode MS"/>
          <w:szCs w:val="24"/>
          <w:bdr w:val="nil"/>
          <w:lang w:val="el-GR"/>
        </w:rPr>
        <w:t>). Η περίοδος εξέτασης είναι 16 έτη, από το 2005 έως και το 2020. Αναλύθηκαν τα οικονομικά δεδομένα των καθαρών κερδών/ ζημιών, των κερδών ανά μετοχή, των δεικτών κερδοφορίας (</w:t>
      </w:r>
      <w:r w:rsidRPr="00D07A65">
        <w:rPr>
          <w:rFonts w:eastAsia="Arial Unicode MS"/>
          <w:szCs w:val="24"/>
          <w:bdr w:val="nil"/>
        </w:rPr>
        <w:t>ROA</w:t>
      </w:r>
      <w:r w:rsidRPr="00D07A65">
        <w:rPr>
          <w:rFonts w:eastAsia="Arial Unicode MS"/>
          <w:szCs w:val="24"/>
          <w:bdr w:val="nil"/>
          <w:lang w:val="el-GR"/>
        </w:rPr>
        <w:t xml:space="preserve"> και </w:t>
      </w:r>
      <w:r w:rsidRPr="00D07A65">
        <w:rPr>
          <w:rFonts w:eastAsia="Arial Unicode MS"/>
          <w:szCs w:val="24"/>
          <w:bdr w:val="nil"/>
        </w:rPr>
        <w:t>ROE</w:t>
      </w:r>
      <w:r w:rsidRPr="00D07A65">
        <w:rPr>
          <w:rFonts w:eastAsia="Arial Unicode MS"/>
          <w:szCs w:val="24"/>
          <w:bdr w:val="nil"/>
          <w:lang w:val="el-GR"/>
        </w:rPr>
        <w:t>), των χρηματοπιστωτικών κινδύνων (κίνδυνος επιτοκίου, πιστωτικός κίνδυνος, κίνδυνος φερεγγυότητας, κίνδυνος ρευστότητας), και οι τιμές των μετοχών. Χρησιμοποιήθηκαν οι μεταβολές των τιμών (όχι οι απόλυτες τιμές). Πραγματοποιήθηκαν τρεις γραμμικές αναλύσεις παλινδρόμησης.</w:t>
      </w:r>
      <w:r w:rsidR="00FC1A82" w:rsidRPr="00FC1A82">
        <w:rPr>
          <w:rFonts w:eastAsia="Arial Unicode MS"/>
          <w:szCs w:val="24"/>
          <w:bdr w:val="nil"/>
          <w:lang w:val="el-GR"/>
        </w:rPr>
        <w:t xml:space="preserve"> </w:t>
      </w:r>
      <w:r w:rsidRPr="00D07A65">
        <w:rPr>
          <w:rFonts w:eastAsia="Arial Unicode MS"/>
          <w:szCs w:val="24"/>
          <w:bdr w:val="nil"/>
          <w:lang w:val="el-GR"/>
        </w:rPr>
        <w:t xml:space="preserve">Τα αποτελέσματα της ανάλυσης έδειξαν ότι η </w:t>
      </w:r>
      <w:r w:rsidRPr="00D07A65">
        <w:rPr>
          <w:rFonts w:eastAsia="Arial Unicode MS"/>
          <w:szCs w:val="24"/>
          <w:bdr w:val="nil"/>
        </w:rPr>
        <w:t>Alpha</w:t>
      </w:r>
      <w:r w:rsidRPr="00D07A65">
        <w:rPr>
          <w:rFonts w:eastAsia="Arial Unicode MS"/>
          <w:szCs w:val="24"/>
          <w:bdr w:val="nil"/>
          <w:lang w:val="el-GR"/>
        </w:rPr>
        <w:t xml:space="preserve"> </w:t>
      </w:r>
      <w:r w:rsidRPr="00D07A65">
        <w:rPr>
          <w:rFonts w:eastAsia="Arial Unicode MS"/>
          <w:szCs w:val="24"/>
          <w:bdr w:val="nil"/>
        </w:rPr>
        <w:t>Bank</w:t>
      </w:r>
      <w:r w:rsidRPr="00D07A65">
        <w:rPr>
          <w:rFonts w:eastAsia="Arial Unicode MS"/>
          <w:szCs w:val="24"/>
          <w:bdr w:val="nil"/>
          <w:lang w:val="el-GR"/>
        </w:rPr>
        <w:t xml:space="preserve"> είχε τα υψηλότερα κέρδη κατά το 2020. Η Εθνική Τράπεζα είχε την υψηλότερη τιμή μετοχής και το υψηλότερο σύνολο ενεργητικού, κατά το 2020. Η  Τράπεζα Πειραιώς ήταν ο οργανισμός με την υψηλότερη ανάπτυξη κατά τα εξεταζόμενα έτη. Επίσης, οι αναλύσεις παλινδρόμησης έδειξαν την ύπαρξη θετικών, στατιστικά σημαντικών σχέσεων μεταξύ του δείκτη </w:t>
      </w:r>
      <w:r w:rsidRPr="00D07A65">
        <w:rPr>
          <w:rFonts w:eastAsia="Arial Unicode MS"/>
          <w:szCs w:val="24"/>
          <w:bdr w:val="nil"/>
        </w:rPr>
        <w:t>ROE</w:t>
      </w:r>
      <w:r w:rsidRPr="00D07A65">
        <w:rPr>
          <w:rFonts w:eastAsia="Arial Unicode MS"/>
          <w:szCs w:val="24"/>
          <w:bdr w:val="nil"/>
          <w:lang w:val="el-GR"/>
        </w:rPr>
        <w:t xml:space="preserve"> και του κινδύνου ρευστότητας, με τις αποδόσεις των τιμών των μετοχών. Έδειξαν την ύπαρξη μιας αρνητικής, στατιστικά σημαντικής σχέσης μεταξύ του πιστωτικού κινδύνου και των μεταβολών των κερδών. Έδειξαν, ακόμη, την ύπαρξη μιας θετικής, στατιστικά σημαντικής σχέσης μεταξύ του κινδύνου επιτοκίου και των μεταβολών των κερδών ανά μετοχή. Οι υπόλοιπες σχέσεις ήταν στατιστικά μη σημαντικές.</w:t>
      </w:r>
    </w:p>
    <w:p w14:paraId="40FEB1A3" w14:textId="77777777" w:rsidR="00FC1A82" w:rsidRDefault="00FC1A82" w:rsidP="0098248D">
      <w:pPr>
        <w:ind w:firstLine="709"/>
        <w:rPr>
          <w:rStyle w:val="ab"/>
          <w:lang w:val="el-GR"/>
        </w:rPr>
      </w:pPr>
    </w:p>
    <w:p w14:paraId="619593B0" w14:textId="77777777" w:rsidR="00C57997" w:rsidRDefault="008A382D" w:rsidP="00C57997">
      <w:pPr>
        <w:ind w:firstLine="0"/>
        <w:rPr>
          <w:rStyle w:val="ab"/>
          <w:lang w:val="el-GR"/>
        </w:rPr>
      </w:pPr>
      <w:r w:rsidRPr="00C200B1">
        <w:rPr>
          <w:rStyle w:val="ab"/>
          <w:lang w:val="el-GR"/>
        </w:rPr>
        <w:t xml:space="preserve">Λέξεις κλειδιά: </w:t>
      </w:r>
      <w:proofErr w:type="spellStart"/>
      <w:r w:rsidR="00C57997">
        <w:rPr>
          <w:rStyle w:val="ab"/>
          <w:lang w:val="el-GR"/>
        </w:rPr>
        <w:t>Σ</w:t>
      </w:r>
      <w:r w:rsidR="00D07A65" w:rsidRPr="00D07A65">
        <w:rPr>
          <w:rStyle w:val="ab"/>
          <w:lang w:val="el-GR"/>
        </w:rPr>
        <w:t>υστημικές</w:t>
      </w:r>
      <w:proofErr w:type="spellEnd"/>
      <w:r w:rsidR="00D07A65" w:rsidRPr="00D07A65">
        <w:rPr>
          <w:rStyle w:val="ab"/>
          <w:lang w:val="el-GR"/>
        </w:rPr>
        <w:t xml:space="preserve"> τράπεζες,</w:t>
      </w:r>
      <w:r w:rsidR="0098248D" w:rsidRPr="0098248D">
        <w:rPr>
          <w:rStyle w:val="ab"/>
          <w:lang w:val="el-GR"/>
        </w:rPr>
        <w:t xml:space="preserve"> </w:t>
      </w:r>
      <w:r w:rsidR="00D07A65" w:rsidRPr="00D07A65">
        <w:rPr>
          <w:rStyle w:val="ab"/>
          <w:lang w:val="el-GR"/>
        </w:rPr>
        <w:t xml:space="preserve">παλινδρόμηση, χρηματοοικονομική απόδοση, χρηματοπιστωτικοί κίνδυνοι, </w:t>
      </w:r>
      <w:bookmarkStart w:id="6" w:name="_GoBack"/>
      <w:r w:rsidR="00D07A65" w:rsidRPr="00D07A65">
        <w:rPr>
          <w:rStyle w:val="ab"/>
          <w:lang w:val="el-GR"/>
        </w:rPr>
        <w:t>αποδόσεις τιμών μετοχών</w:t>
      </w:r>
      <w:bookmarkEnd w:id="6"/>
      <w:r w:rsidR="00D07A65" w:rsidRPr="00D07A65">
        <w:rPr>
          <w:rStyle w:val="ab"/>
          <w:lang w:val="el-GR"/>
        </w:rPr>
        <w:t>.</w:t>
      </w:r>
    </w:p>
    <w:p w14:paraId="57CE4570" w14:textId="189053F1" w:rsidR="00922703" w:rsidRPr="00C57997" w:rsidRDefault="00E558B7" w:rsidP="00C57997">
      <w:pPr>
        <w:pStyle w:val="1"/>
      </w:pPr>
      <w:r w:rsidRPr="00E558B7">
        <w:rPr>
          <w:i/>
        </w:rPr>
        <w:br w:type="page"/>
      </w:r>
      <w:bookmarkStart w:id="7" w:name="_Toc443485430"/>
      <w:r w:rsidR="00922703" w:rsidRPr="00C57997">
        <w:lastRenderedPageBreak/>
        <w:t>ABSTRACT</w:t>
      </w:r>
      <w:bookmarkEnd w:id="7"/>
    </w:p>
    <w:p w14:paraId="1F4ACD3B" w14:textId="5BDAE880" w:rsidR="00922703" w:rsidRPr="00C57997" w:rsidRDefault="00DA1077" w:rsidP="00BC2F00">
      <w:pPr>
        <w:jc w:val="center"/>
        <w:rPr>
          <w:szCs w:val="24"/>
        </w:rPr>
      </w:pPr>
      <w:r w:rsidRPr="00C57997">
        <w:rPr>
          <w:szCs w:val="24"/>
        </w:rPr>
        <w:t>Zagana Stavroula</w:t>
      </w:r>
      <w:r w:rsidR="00922703" w:rsidRPr="00C57997">
        <w:rPr>
          <w:szCs w:val="24"/>
        </w:rPr>
        <w:t>:</w:t>
      </w:r>
      <w:r w:rsidR="009F4F73" w:rsidRPr="00C57997">
        <w:rPr>
          <w:szCs w:val="24"/>
        </w:rPr>
        <w:t xml:space="preserve"> </w:t>
      </w:r>
      <w:r w:rsidRPr="00C57997">
        <w:rPr>
          <w:szCs w:val="24"/>
        </w:rPr>
        <w:t xml:space="preserve">The Relationship </w:t>
      </w:r>
      <w:proofErr w:type="gramStart"/>
      <w:r w:rsidRPr="00C57997">
        <w:rPr>
          <w:szCs w:val="24"/>
        </w:rPr>
        <w:t>Between</w:t>
      </w:r>
      <w:proofErr w:type="gramEnd"/>
      <w:r w:rsidRPr="00C57997">
        <w:rPr>
          <w:szCs w:val="24"/>
        </w:rPr>
        <w:t xml:space="preserve"> Financial Performance and Stock Performance in the Financial Sector. </w:t>
      </w:r>
      <w:proofErr w:type="gramStart"/>
      <w:r w:rsidRPr="00C57997">
        <w:rPr>
          <w:szCs w:val="24"/>
        </w:rPr>
        <w:t>Case Study at the Four Systemic Banks of Greece.</w:t>
      </w:r>
      <w:proofErr w:type="gramEnd"/>
    </w:p>
    <w:p w14:paraId="13B0075C" w14:textId="5438D40C" w:rsidR="009F4F73" w:rsidRPr="00C57997" w:rsidRDefault="00922703" w:rsidP="00BC2F00">
      <w:pPr>
        <w:jc w:val="center"/>
        <w:rPr>
          <w:szCs w:val="24"/>
        </w:rPr>
      </w:pPr>
      <w:r w:rsidRPr="00C57997">
        <w:rPr>
          <w:szCs w:val="24"/>
        </w:rPr>
        <w:t>(</w:t>
      </w:r>
      <w:r w:rsidR="009F4F73" w:rsidRPr="00C57997">
        <w:rPr>
          <w:szCs w:val="24"/>
        </w:rPr>
        <w:t xml:space="preserve">With the supervision of </w:t>
      </w:r>
      <w:proofErr w:type="spellStart"/>
      <w:r w:rsidR="000C7456" w:rsidRPr="00C57997">
        <w:rPr>
          <w:szCs w:val="24"/>
        </w:rPr>
        <w:t>Dimitropoulos</w:t>
      </w:r>
      <w:proofErr w:type="spellEnd"/>
      <w:r w:rsidR="000C7456" w:rsidRPr="00C57997">
        <w:rPr>
          <w:szCs w:val="24"/>
        </w:rPr>
        <w:t xml:space="preserve"> </w:t>
      </w:r>
      <w:proofErr w:type="spellStart"/>
      <w:r w:rsidR="000C7456" w:rsidRPr="00C57997">
        <w:rPr>
          <w:szCs w:val="24"/>
        </w:rPr>
        <w:t>Panagiotis</w:t>
      </w:r>
      <w:proofErr w:type="spellEnd"/>
      <w:r w:rsidR="00C57997" w:rsidRPr="00C57997">
        <w:rPr>
          <w:szCs w:val="24"/>
        </w:rPr>
        <w:t>,</w:t>
      </w:r>
      <w:r w:rsidR="000C7456" w:rsidRPr="00C57997">
        <w:rPr>
          <w:szCs w:val="24"/>
        </w:rPr>
        <w:t>)</w:t>
      </w:r>
    </w:p>
    <w:p w14:paraId="0F05DDE3" w14:textId="6F1E0BE1" w:rsidR="00DA1077" w:rsidRPr="00C57997" w:rsidRDefault="00DA1077" w:rsidP="00C57997">
      <w:pPr>
        <w:ind w:firstLine="0"/>
      </w:pPr>
    </w:p>
    <w:p w14:paraId="2F0B8278" w14:textId="0F97258E" w:rsidR="00FC1A82" w:rsidRPr="00EE1F38" w:rsidRDefault="00DA1077" w:rsidP="00C57997">
      <w:pPr>
        <w:spacing w:before="200" w:after="200"/>
        <w:ind w:firstLine="0"/>
        <w:rPr>
          <w:rFonts w:eastAsia="Arial Unicode MS"/>
          <w:szCs w:val="24"/>
          <w:bdr w:val="nil"/>
        </w:rPr>
      </w:pPr>
      <w:r w:rsidRPr="00DA1077">
        <w:rPr>
          <w:rFonts w:eastAsia="Arial Unicode MS"/>
          <w:szCs w:val="24"/>
          <w:bdr w:val="nil"/>
        </w:rPr>
        <w:t>Financial and stock markets are important elements of modern economies. The returns of the share prices of financial institutions are an important topic of research among the</w:t>
      </w:r>
      <w:r>
        <w:rPr>
          <w:rFonts w:eastAsia="Arial Unicode MS"/>
          <w:szCs w:val="24"/>
          <w:bdr w:val="nil"/>
        </w:rPr>
        <w:t xml:space="preserve"> </w:t>
      </w:r>
      <w:r w:rsidRPr="00DA1077">
        <w:rPr>
          <w:rFonts w:eastAsia="Arial Unicode MS"/>
          <w:szCs w:val="24"/>
          <w:bdr w:val="nil"/>
        </w:rPr>
        <w:t>analyst around the world.</w:t>
      </w:r>
      <w:r>
        <w:t xml:space="preserve"> </w:t>
      </w:r>
      <w:r w:rsidR="006F3937">
        <w:t xml:space="preserve">The aim of this study </w:t>
      </w:r>
      <w:r>
        <w:t xml:space="preserve">is to examine </w:t>
      </w:r>
      <w:r w:rsidRPr="00DA1077">
        <w:rPr>
          <w:rFonts w:eastAsia="Arial Unicode MS"/>
          <w:szCs w:val="24"/>
          <w:bdr w:val="nil"/>
        </w:rPr>
        <w:t>the relationship between the financial performance, the risk performance, and the stock performance of banks. The four systemic Greek banks (National Bank of Greece, Piraeus Bank, Alpha Bank, Eurobank Ergasias) have been taken as a sample. The examination period is 16 years, from 2005 to 2020. The financial data of net profit (/loss), earnings per share, profitability ratios (ROA and ROE), financial risks (interest rate risk, credit risk, solvency risk, liquidity risk), and stock prices were analyzed. Financial returns (not absolute values) were used. Three linear regression analyzes were performed.</w:t>
      </w:r>
      <w:r w:rsidR="00FC1A82">
        <w:rPr>
          <w:rFonts w:eastAsia="Arial Unicode MS"/>
          <w:szCs w:val="24"/>
          <w:bdr w:val="nil"/>
        </w:rPr>
        <w:t xml:space="preserve"> </w:t>
      </w:r>
      <w:r w:rsidRPr="00DA1077">
        <w:rPr>
          <w:rFonts w:eastAsia="Arial Unicode MS"/>
          <w:szCs w:val="24"/>
          <w:bdr w:val="nil"/>
        </w:rPr>
        <w:t>The results of the analysis showed that Alpha Bank had the highest profits in 2020. The National Bank had the highest share price and the highest total assets, in 2020. Piraeus Bank was the institution with the highest growth during the examination time period. The regression analyses showed the existence of positive, statistically significant relationships between the ROE and the liquidity risk, with the returns of the stock prices. They showed the existence of a negative, statistically significant relationship between credit risk and changes in profits. They also showed the existence of a positive, statistically significant relationship between interest rate risk and changes in earnings per share. The remaining relationships were statistically insignificant.</w:t>
      </w:r>
    </w:p>
    <w:p w14:paraId="34886B2A" w14:textId="77777777" w:rsidR="00C57997" w:rsidRPr="00EE1F38" w:rsidRDefault="00C57997" w:rsidP="00C57997">
      <w:pPr>
        <w:spacing w:before="200" w:after="200"/>
        <w:ind w:firstLine="0"/>
        <w:rPr>
          <w:rFonts w:eastAsia="Arial Unicode MS"/>
          <w:szCs w:val="24"/>
          <w:bdr w:val="nil"/>
        </w:rPr>
      </w:pPr>
    </w:p>
    <w:p w14:paraId="6CFB210C" w14:textId="3E7524A4" w:rsidR="00F93819" w:rsidRPr="00DA1077" w:rsidRDefault="00DA1077" w:rsidP="00C57997">
      <w:pPr>
        <w:spacing w:before="200" w:after="200"/>
        <w:ind w:firstLine="0"/>
        <w:rPr>
          <w:i/>
          <w:iCs/>
          <w:szCs w:val="24"/>
        </w:rPr>
      </w:pPr>
      <w:r w:rsidRPr="00DA1077">
        <w:rPr>
          <w:i/>
          <w:iCs/>
          <w:szCs w:val="24"/>
        </w:rPr>
        <w:t>Keywords: systemic banks,</w:t>
      </w:r>
      <w:r w:rsidR="0098248D">
        <w:rPr>
          <w:i/>
          <w:iCs/>
          <w:szCs w:val="24"/>
        </w:rPr>
        <w:t xml:space="preserve"> </w:t>
      </w:r>
      <w:r w:rsidRPr="00DA1077">
        <w:rPr>
          <w:i/>
          <w:iCs/>
          <w:szCs w:val="24"/>
        </w:rPr>
        <w:t>regression, financial performance, risk performance, stock performance.</w:t>
      </w:r>
      <w:r w:rsidR="00D402A5" w:rsidRPr="00DA1077">
        <w:rPr>
          <w:i/>
          <w:iCs/>
          <w:szCs w:val="24"/>
        </w:rPr>
        <w:br w:type="page"/>
      </w:r>
    </w:p>
    <w:p w14:paraId="627284A8" w14:textId="77777777" w:rsidR="00F6688D" w:rsidRPr="00C57997" w:rsidRDefault="00F6688D" w:rsidP="00BC0097">
      <w:pPr>
        <w:rPr>
          <w:rStyle w:val="ac"/>
        </w:rPr>
      </w:pPr>
    </w:p>
    <w:p w14:paraId="35DD63F4" w14:textId="77777777" w:rsidR="00850BBE" w:rsidRPr="00C57997" w:rsidRDefault="00850BBE" w:rsidP="00BC0097">
      <w:pPr>
        <w:rPr>
          <w:rStyle w:val="ac"/>
        </w:rPr>
      </w:pPr>
    </w:p>
    <w:p w14:paraId="09506169" w14:textId="77777777" w:rsidR="00850BBE" w:rsidRPr="00C57997" w:rsidRDefault="00850BBE" w:rsidP="00BC0097">
      <w:pPr>
        <w:rPr>
          <w:rStyle w:val="ac"/>
          <w:i/>
        </w:rPr>
      </w:pPr>
    </w:p>
    <w:p w14:paraId="49ED5EE5" w14:textId="5B512414" w:rsidR="00850BBE" w:rsidRPr="00850BBE" w:rsidRDefault="00850BBE" w:rsidP="00850BBE">
      <w:pPr>
        <w:spacing w:line="480" w:lineRule="auto"/>
        <w:rPr>
          <w:rStyle w:val="ac"/>
          <w:i/>
          <w:szCs w:val="24"/>
          <w:lang w:val="el-GR"/>
        </w:rPr>
      </w:pPr>
      <w:r w:rsidRPr="00C57997">
        <w:rPr>
          <w:rStyle w:val="ac"/>
          <w:i/>
        </w:rPr>
        <w:t xml:space="preserve">                                                                                                </w:t>
      </w:r>
      <w:r w:rsidRPr="00850BBE">
        <w:rPr>
          <w:rStyle w:val="ac"/>
          <w:i/>
          <w:szCs w:val="24"/>
          <w:lang w:val="el-GR"/>
        </w:rPr>
        <w:t>Η εργασία αυτή</w:t>
      </w:r>
    </w:p>
    <w:p w14:paraId="3259FE13" w14:textId="6347E15D" w:rsidR="00850BBE" w:rsidRPr="00850BBE" w:rsidRDefault="00850BBE" w:rsidP="00850BBE">
      <w:pPr>
        <w:spacing w:line="480" w:lineRule="auto"/>
        <w:jc w:val="center"/>
        <w:rPr>
          <w:rStyle w:val="ac"/>
          <w:i/>
          <w:szCs w:val="24"/>
          <w:lang w:val="el-GR"/>
        </w:rPr>
      </w:pPr>
      <w:r w:rsidRPr="00850BBE">
        <w:rPr>
          <w:rStyle w:val="ac"/>
          <w:i/>
          <w:szCs w:val="24"/>
          <w:lang w:val="el-GR"/>
        </w:rPr>
        <w:t xml:space="preserve">                                                                                 είναι αφιερωμένη στους</w:t>
      </w:r>
    </w:p>
    <w:p w14:paraId="33479D48" w14:textId="389044F8" w:rsidR="00F6688D" w:rsidRPr="00850BBE" w:rsidRDefault="00850BBE" w:rsidP="00850BBE">
      <w:pPr>
        <w:spacing w:line="480" w:lineRule="auto"/>
        <w:jc w:val="right"/>
        <w:rPr>
          <w:rStyle w:val="ac"/>
          <w:i/>
          <w:szCs w:val="24"/>
          <w:lang w:val="el-GR"/>
        </w:rPr>
      </w:pPr>
      <w:r w:rsidRPr="00850BBE">
        <w:rPr>
          <w:rStyle w:val="ac"/>
          <w:i/>
          <w:szCs w:val="24"/>
          <w:lang w:val="el-GR"/>
        </w:rPr>
        <w:t>πολυαγαπημένους μου γονείς…</w:t>
      </w:r>
    </w:p>
    <w:p w14:paraId="5D69AFC4" w14:textId="77777777" w:rsidR="00F6688D" w:rsidRDefault="00F6688D" w:rsidP="00BC0097">
      <w:pPr>
        <w:rPr>
          <w:rStyle w:val="ac"/>
          <w:lang w:val="el-GR"/>
        </w:rPr>
      </w:pPr>
    </w:p>
    <w:p w14:paraId="5E57F9AB" w14:textId="77777777" w:rsidR="00F6688D" w:rsidRDefault="00F6688D" w:rsidP="00BC0097">
      <w:pPr>
        <w:rPr>
          <w:rStyle w:val="ac"/>
          <w:lang w:val="el-GR"/>
        </w:rPr>
      </w:pPr>
    </w:p>
    <w:p w14:paraId="701210C0" w14:textId="77777777" w:rsidR="00F6688D" w:rsidRDefault="00F6688D" w:rsidP="00BC0097">
      <w:pPr>
        <w:rPr>
          <w:rStyle w:val="ac"/>
          <w:lang w:val="el-GR"/>
        </w:rPr>
      </w:pPr>
    </w:p>
    <w:p w14:paraId="00198AB8" w14:textId="77777777" w:rsidR="00F6688D" w:rsidRDefault="00F6688D" w:rsidP="00BC0097">
      <w:pPr>
        <w:rPr>
          <w:rStyle w:val="ac"/>
          <w:lang w:val="el-GR"/>
        </w:rPr>
      </w:pPr>
    </w:p>
    <w:p w14:paraId="6EEB56C9" w14:textId="77777777" w:rsidR="00F6688D" w:rsidRDefault="00F6688D" w:rsidP="00BC0097">
      <w:pPr>
        <w:rPr>
          <w:rStyle w:val="ac"/>
          <w:lang w:val="el-GR"/>
        </w:rPr>
      </w:pPr>
    </w:p>
    <w:p w14:paraId="556D41B9" w14:textId="77777777" w:rsidR="00F6688D" w:rsidRDefault="00F6688D" w:rsidP="00BC0097">
      <w:pPr>
        <w:rPr>
          <w:rStyle w:val="ac"/>
          <w:lang w:val="el-GR"/>
        </w:rPr>
      </w:pPr>
    </w:p>
    <w:p w14:paraId="5B7F42A0" w14:textId="77777777" w:rsidR="00F6688D" w:rsidRDefault="00F6688D" w:rsidP="00BC0097">
      <w:pPr>
        <w:rPr>
          <w:rStyle w:val="ac"/>
          <w:lang w:val="el-GR"/>
        </w:rPr>
      </w:pPr>
    </w:p>
    <w:p w14:paraId="3C2BEDF5" w14:textId="77777777" w:rsidR="00F6688D" w:rsidRDefault="00F6688D" w:rsidP="00BC0097">
      <w:pPr>
        <w:rPr>
          <w:rStyle w:val="ac"/>
          <w:lang w:val="el-GR"/>
        </w:rPr>
      </w:pPr>
    </w:p>
    <w:p w14:paraId="7C54B72D" w14:textId="77777777" w:rsidR="00F6688D" w:rsidRDefault="00F6688D" w:rsidP="00BC0097">
      <w:pPr>
        <w:rPr>
          <w:rStyle w:val="ac"/>
          <w:lang w:val="el-GR"/>
        </w:rPr>
      </w:pPr>
    </w:p>
    <w:p w14:paraId="59043E1F" w14:textId="77777777" w:rsidR="00F6688D" w:rsidRDefault="00F6688D" w:rsidP="00BC0097">
      <w:pPr>
        <w:rPr>
          <w:rStyle w:val="ac"/>
          <w:lang w:val="el-GR"/>
        </w:rPr>
      </w:pPr>
    </w:p>
    <w:p w14:paraId="12D00002" w14:textId="77777777" w:rsidR="00F6688D" w:rsidRDefault="00F6688D" w:rsidP="00BC0097">
      <w:pPr>
        <w:rPr>
          <w:rStyle w:val="ac"/>
          <w:lang w:val="el-GR"/>
        </w:rPr>
      </w:pPr>
    </w:p>
    <w:p w14:paraId="509D10E9" w14:textId="77777777" w:rsidR="00F6688D" w:rsidRDefault="00F6688D" w:rsidP="00BC0097">
      <w:pPr>
        <w:rPr>
          <w:rStyle w:val="ac"/>
          <w:lang w:val="el-GR"/>
        </w:rPr>
      </w:pPr>
    </w:p>
    <w:p w14:paraId="349E9FB9" w14:textId="77777777" w:rsidR="00F6688D" w:rsidRDefault="00F6688D" w:rsidP="00BC0097">
      <w:pPr>
        <w:rPr>
          <w:rStyle w:val="ac"/>
          <w:lang w:val="el-GR"/>
        </w:rPr>
      </w:pPr>
    </w:p>
    <w:p w14:paraId="44625752" w14:textId="77777777" w:rsidR="00F6688D" w:rsidRDefault="00F6688D" w:rsidP="00BC0097">
      <w:pPr>
        <w:rPr>
          <w:rStyle w:val="ac"/>
          <w:lang w:val="el-GR"/>
        </w:rPr>
      </w:pPr>
    </w:p>
    <w:p w14:paraId="0BBCB9D6" w14:textId="77777777" w:rsidR="00F6688D" w:rsidRDefault="00F6688D" w:rsidP="00BC0097">
      <w:pPr>
        <w:rPr>
          <w:rStyle w:val="ac"/>
          <w:lang w:val="el-GR"/>
        </w:rPr>
      </w:pPr>
    </w:p>
    <w:p w14:paraId="6232006F" w14:textId="77777777" w:rsidR="00F6688D" w:rsidRPr="00C200B1" w:rsidRDefault="00F6688D" w:rsidP="00BC0097">
      <w:pPr>
        <w:rPr>
          <w:rStyle w:val="ac"/>
          <w:lang w:val="el-GR"/>
        </w:rPr>
      </w:pPr>
    </w:p>
    <w:p w14:paraId="384ED6C1" w14:textId="77777777" w:rsidR="001E5799" w:rsidRPr="00BC0097" w:rsidRDefault="001E5799">
      <w:pPr>
        <w:jc w:val="left"/>
        <w:rPr>
          <w:b/>
          <w:lang w:val="el-GR"/>
        </w:rPr>
      </w:pPr>
      <w:r w:rsidRPr="00BC0097">
        <w:rPr>
          <w:b/>
          <w:lang w:val="el-GR"/>
        </w:rPr>
        <w:br w:type="page"/>
      </w:r>
    </w:p>
    <w:sdt>
      <w:sdtPr>
        <w:rPr>
          <w:rFonts w:ascii="Times New Roman" w:eastAsia="Arial Unicode MS" w:hAnsi="Times New Roman" w:cs="Times New Roman"/>
          <w:b w:val="0"/>
          <w:bCs w:val="0"/>
          <w:caps w:val="0"/>
          <w:color w:val="auto"/>
          <w:sz w:val="24"/>
          <w:szCs w:val="24"/>
          <w:bdr w:val="nil"/>
          <w:lang w:val="en-US"/>
        </w:rPr>
        <w:id w:val="-2140784735"/>
        <w:docPartObj>
          <w:docPartGallery w:val="Table of Contents"/>
          <w:docPartUnique/>
        </w:docPartObj>
      </w:sdtPr>
      <w:sdtEndPr>
        <w:rPr>
          <w:rFonts w:eastAsia="Times New Roman"/>
          <w:szCs w:val="20"/>
          <w:bdr w:val="none" w:sz="0" w:space="0" w:color="auto"/>
        </w:rPr>
      </w:sdtEndPr>
      <w:sdtContent>
        <w:p w14:paraId="025BE7DA" w14:textId="77777777" w:rsidR="001047B8" w:rsidRPr="00C33FE5" w:rsidRDefault="001047B8" w:rsidP="00C57997">
          <w:pPr>
            <w:pStyle w:val="a8"/>
            <w:spacing w:before="0" w:line="240" w:lineRule="auto"/>
            <w:jc w:val="center"/>
          </w:pPr>
          <w:r w:rsidRPr="00C33FE5">
            <w:t>ΠΕΡΙΕΧΟΜΕΝΑ</w:t>
          </w:r>
        </w:p>
        <w:p w14:paraId="69ACD3B8" w14:textId="1A09413E" w:rsidR="00FC1A82" w:rsidRPr="002E7AE8" w:rsidRDefault="001047B8" w:rsidP="00C57997">
          <w:pPr>
            <w:pStyle w:val="20"/>
            <w:spacing w:before="0" w:after="0" w:line="240" w:lineRule="auto"/>
          </w:pPr>
          <w:r w:rsidRPr="00FC1A82">
            <w:t>ΠΕΡΙΛΗΨΗ</w:t>
          </w:r>
          <w:r w:rsidRPr="00FC1A82">
            <w:ptab w:relativeTo="margin" w:alignment="right" w:leader="dot"/>
          </w:r>
          <w:r w:rsidR="002E7AE8">
            <w:rPr>
              <w:lang w:val="en-US"/>
            </w:rPr>
            <w:t>IV</w:t>
          </w:r>
        </w:p>
        <w:p w14:paraId="0A39C5B5" w14:textId="7018B8AB" w:rsidR="00FC1A82" w:rsidRPr="002E7AE8" w:rsidRDefault="001047B8" w:rsidP="00C57997">
          <w:pPr>
            <w:pStyle w:val="20"/>
            <w:spacing w:before="0" w:after="0" w:line="240" w:lineRule="auto"/>
          </w:pPr>
          <w:r w:rsidRPr="00FC1A82">
            <w:t>ABSTRACT</w:t>
          </w:r>
          <w:r w:rsidRPr="00FC1A82">
            <w:ptab w:relativeTo="margin" w:alignment="right" w:leader="dot"/>
          </w:r>
          <w:r w:rsidR="002E7AE8">
            <w:rPr>
              <w:lang w:val="en-US"/>
            </w:rPr>
            <w:t>V</w:t>
          </w:r>
        </w:p>
        <w:p w14:paraId="09A38902" w14:textId="3D810CBA" w:rsidR="00FC1A82" w:rsidRPr="002E7AE8" w:rsidRDefault="00FC1A82" w:rsidP="00C57997">
          <w:pPr>
            <w:pStyle w:val="20"/>
            <w:spacing w:before="0" w:after="0" w:line="240" w:lineRule="auto"/>
          </w:pPr>
          <w:r w:rsidRPr="00FC1A82">
            <w:t>ΕΥΧΑΡΙΣΤΙΕΣ</w:t>
          </w:r>
          <w:r w:rsidRPr="00FC1A82">
            <w:ptab w:relativeTo="margin" w:alignment="right" w:leader="dot"/>
          </w:r>
          <w:r w:rsidR="002E7AE8">
            <w:rPr>
              <w:lang w:val="en-US"/>
            </w:rPr>
            <w:t>VI</w:t>
          </w:r>
        </w:p>
        <w:p w14:paraId="6177BD56" w14:textId="0305FD41" w:rsidR="00FC1A82" w:rsidRPr="002E7AE8" w:rsidRDefault="00FC1A82" w:rsidP="00C57997">
          <w:pPr>
            <w:spacing w:line="240" w:lineRule="auto"/>
            <w:ind w:firstLine="0"/>
            <w:rPr>
              <w:szCs w:val="24"/>
              <w:lang w:val="el-GR"/>
            </w:rPr>
          </w:pPr>
          <w:r>
            <w:rPr>
              <w:lang w:val="el-GR"/>
            </w:rPr>
            <w:t>ΠΕΡΙΕΧΟΜΕΝΑ</w:t>
          </w:r>
          <w:r w:rsidRPr="006F7F28">
            <w:rPr>
              <w:szCs w:val="24"/>
            </w:rPr>
            <w:ptab w:relativeTo="margin" w:alignment="right" w:leader="dot"/>
          </w:r>
          <w:r w:rsidR="002E7AE8">
            <w:rPr>
              <w:szCs w:val="24"/>
            </w:rPr>
            <w:t>VII</w:t>
          </w:r>
        </w:p>
        <w:p w14:paraId="5A1A4AC4" w14:textId="5776BF23" w:rsidR="00FC1A82" w:rsidRPr="002E7AE8" w:rsidRDefault="00FC1A82" w:rsidP="00C57997">
          <w:pPr>
            <w:spacing w:line="240" w:lineRule="auto"/>
            <w:ind w:firstLine="0"/>
            <w:rPr>
              <w:szCs w:val="24"/>
              <w:lang w:val="el-GR"/>
            </w:rPr>
          </w:pPr>
          <w:r>
            <w:rPr>
              <w:szCs w:val="24"/>
              <w:lang w:val="el-GR"/>
            </w:rPr>
            <w:t>ΚΑΤΑΛΟΓΟΣ ΣΧΗΜΑΤΩΝ</w:t>
          </w:r>
          <w:r w:rsidR="00D848EE" w:rsidRPr="006F7F28">
            <w:rPr>
              <w:szCs w:val="24"/>
            </w:rPr>
            <w:ptab w:relativeTo="margin" w:alignment="right" w:leader="dot"/>
          </w:r>
          <w:r w:rsidR="002E7AE8">
            <w:rPr>
              <w:szCs w:val="24"/>
            </w:rPr>
            <w:t>IX</w:t>
          </w:r>
        </w:p>
        <w:p w14:paraId="0C2DA049" w14:textId="018F9196" w:rsidR="00D848EE" w:rsidRPr="00D848EE" w:rsidRDefault="00D848EE" w:rsidP="00C57997">
          <w:pPr>
            <w:spacing w:line="240" w:lineRule="auto"/>
            <w:ind w:firstLine="0"/>
            <w:rPr>
              <w:lang w:val="el-GR"/>
            </w:rPr>
          </w:pPr>
          <w:r>
            <w:rPr>
              <w:szCs w:val="24"/>
              <w:lang w:val="el-GR"/>
            </w:rPr>
            <w:t>ΚΑΤΑΛΟΓΟΣ ΠΙΝΑΚΩΝ</w:t>
          </w:r>
          <w:r w:rsidRPr="006F7F28">
            <w:rPr>
              <w:szCs w:val="24"/>
            </w:rPr>
            <w:ptab w:relativeTo="margin" w:alignment="right" w:leader="dot"/>
          </w:r>
          <w:r w:rsidR="002E7AE8">
            <w:rPr>
              <w:szCs w:val="24"/>
            </w:rPr>
            <w:t>X</w:t>
          </w:r>
        </w:p>
        <w:p w14:paraId="392BC0F6" w14:textId="77777777" w:rsidR="00FC1A82" w:rsidRPr="00FC1A82" w:rsidRDefault="00FC1A82" w:rsidP="00C57997">
          <w:pPr>
            <w:spacing w:line="240" w:lineRule="auto"/>
            <w:ind w:firstLine="0"/>
            <w:rPr>
              <w:lang w:val="el-GR"/>
            </w:rPr>
          </w:pPr>
        </w:p>
        <w:p w14:paraId="17CC84BA" w14:textId="7BD0E23C" w:rsidR="00FC1A82" w:rsidRPr="002E7AE8" w:rsidRDefault="00D848EE" w:rsidP="00C57997">
          <w:pPr>
            <w:pStyle w:val="20"/>
            <w:spacing w:before="0" w:after="0" w:line="240" w:lineRule="auto"/>
          </w:pPr>
          <w:r>
            <w:t xml:space="preserve">I. </w:t>
          </w:r>
          <w:r w:rsidR="001047B8" w:rsidRPr="00FC1A82">
            <w:t>ΕΙΣΑΓΩΓΗ</w:t>
          </w:r>
          <w:r w:rsidR="001047B8" w:rsidRPr="00FC1A82">
            <w:ptab w:relativeTo="margin" w:alignment="right" w:leader="dot"/>
          </w:r>
          <w:r w:rsidR="002E7AE8" w:rsidRPr="002E7AE8">
            <w:t>1</w:t>
          </w:r>
        </w:p>
        <w:p w14:paraId="438E1A0E" w14:textId="707FB3C9" w:rsidR="001047B8" w:rsidRPr="00841908" w:rsidRDefault="00D848EE" w:rsidP="00C57997">
          <w:pPr>
            <w:pStyle w:val="20"/>
            <w:spacing w:before="0" w:after="0" w:line="240" w:lineRule="auto"/>
          </w:pPr>
          <w:r>
            <w:rPr>
              <w:lang w:val="en-US"/>
            </w:rPr>
            <w:t>II</w:t>
          </w:r>
          <w:r w:rsidRPr="00D848EE">
            <w:t>. ΑΝΑΣΚΟΠΗΣΗ</w:t>
          </w:r>
          <w:bookmarkStart w:id="8" w:name="_Hlk88466977"/>
          <w:r>
            <w:t xml:space="preserve"> ΒΙΒΛΙΟΓΡΑΦΙΑΣ</w:t>
          </w:r>
          <w:r w:rsidR="001047B8" w:rsidRPr="00D848EE">
            <w:ptab w:relativeTo="margin" w:alignment="right" w:leader="dot"/>
          </w:r>
          <w:bookmarkEnd w:id="8"/>
          <w:r w:rsidR="00841908" w:rsidRPr="00841908">
            <w:t>4</w:t>
          </w:r>
        </w:p>
        <w:p w14:paraId="3D8A654D" w14:textId="4B1D3EC2" w:rsidR="001047B8" w:rsidRPr="00841908" w:rsidRDefault="00D848EE" w:rsidP="00C57997">
          <w:pPr>
            <w:spacing w:line="240" w:lineRule="auto"/>
            <w:ind w:left="720"/>
            <w:rPr>
              <w:lang w:val="el-GR"/>
            </w:rPr>
          </w:pPr>
          <w:r w:rsidRPr="00D848EE">
            <w:rPr>
              <w:lang w:val="el-GR"/>
            </w:rPr>
            <w:t>2</w:t>
          </w:r>
          <w:r w:rsidR="001047B8" w:rsidRPr="006F7F28">
            <w:rPr>
              <w:lang w:val="el-GR"/>
            </w:rPr>
            <w:t>.1. Σχετικές Βιβλιογραφικές Αναφορές</w:t>
          </w:r>
          <w:r w:rsidR="001047B8" w:rsidRPr="006F7F28">
            <w:ptab w:relativeTo="margin" w:alignment="right" w:leader="dot"/>
          </w:r>
          <w:r w:rsidR="00841908" w:rsidRPr="00841908">
            <w:rPr>
              <w:lang w:val="el-GR"/>
            </w:rPr>
            <w:t>4</w:t>
          </w:r>
        </w:p>
        <w:p w14:paraId="015D0921" w14:textId="086758F3" w:rsidR="001047B8" w:rsidRPr="00841908" w:rsidRDefault="00D848EE" w:rsidP="00C57997">
          <w:pPr>
            <w:spacing w:line="240" w:lineRule="auto"/>
            <w:ind w:left="720"/>
            <w:rPr>
              <w:lang w:val="el-GR"/>
            </w:rPr>
          </w:pPr>
          <w:r w:rsidRPr="002E7AE8">
            <w:rPr>
              <w:lang w:val="el-GR"/>
            </w:rPr>
            <w:t>2</w:t>
          </w:r>
          <w:r w:rsidR="001047B8" w:rsidRPr="006F7F28">
            <w:rPr>
              <w:lang w:val="el-GR"/>
            </w:rPr>
            <w:t>.2. Ερευνητικό Κενό στην Υπάρχουσα Βιβλιογραφία</w:t>
          </w:r>
          <w:r w:rsidR="001047B8" w:rsidRPr="006F7F28">
            <w:ptab w:relativeTo="margin" w:alignment="right" w:leader="dot"/>
          </w:r>
          <w:r w:rsidR="00841908" w:rsidRPr="00841908">
            <w:rPr>
              <w:lang w:val="el-GR"/>
            </w:rPr>
            <w:t>9</w:t>
          </w:r>
        </w:p>
        <w:p w14:paraId="3C4F27E8" w14:textId="77777777" w:rsidR="00D848EE" w:rsidRPr="002E7AE8" w:rsidRDefault="00D848EE" w:rsidP="00C57997">
          <w:pPr>
            <w:pStyle w:val="31"/>
            <w:spacing w:after="0"/>
            <w:rPr>
              <w:lang w:val="el-GR"/>
            </w:rPr>
          </w:pPr>
        </w:p>
        <w:p w14:paraId="048EED3F" w14:textId="55232AFF" w:rsidR="001047B8" w:rsidRPr="008D791C" w:rsidRDefault="00D848EE" w:rsidP="00C57997">
          <w:pPr>
            <w:pStyle w:val="31"/>
            <w:spacing w:after="0"/>
            <w:rPr>
              <w:lang w:val="el-GR"/>
            </w:rPr>
          </w:pPr>
          <w:r w:rsidRPr="00D848EE">
            <w:t>III</w:t>
          </w:r>
          <w:r w:rsidRPr="002E7AE8">
            <w:rPr>
              <w:lang w:val="el-GR"/>
            </w:rPr>
            <w:t>.</w:t>
          </w:r>
          <w:r w:rsidR="001047B8" w:rsidRPr="00D848EE">
            <w:rPr>
              <w:lang w:val="el-GR"/>
            </w:rPr>
            <w:t xml:space="preserve"> </w:t>
          </w:r>
          <w:r>
            <w:rPr>
              <w:lang w:val="el-GR"/>
            </w:rPr>
            <w:t>ΜΕΘΟΔΟΣ</w:t>
          </w:r>
          <w:r w:rsidR="001047B8" w:rsidRPr="00D848EE">
            <w:ptab w:relativeTo="margin" w:alignment="right" w:leader="dot"/>
          </w:r>
          <w:r w:rsidR="001047B8" w:rsidRPr="00D848EE">
            <w:rPr>
              <w:lang w:val="el-GR"/>
            </w:rPr>
            <w:t>1</w:t>
          </w:r>
          <w:r w:rsidR="00841908" w:rsidRPr="008D791C">
            <w:rPr>
              <w:lang w:val="el-GR"/>
            </w:rPr>
            <w:t>2</w:t>
          </w:r>
        </w:p>
        <w:p w14:paraId="7A304F7E" w14:textId="38DA3F44" w:rsidR="001047B8" w:rsidRPr="008D791C" w:rsidRDefault="00D848EE" w:rsidP="00C57997">
          <w:pPr>
            <w:spacing w:line="240" w:lineRule="auto"/>
            <w:ind w:left="720"/>
            <w:rPr>
              <w:lang w:val="el-GR"/>
            </w:rPr>
          </w:pPr>
          <w:r w:rsidRPr="002E7AE8">
            <w:rPr>
              <w:lang w:val="el-GR"/>
            </w:rPr>
            <w:t>3</w:t>
          </w:r>
          <w:r w:rsidR="001047B8" w:rsidRPr="006F7F28">
            <w:rPr>
              <w:lang w:val="el-GR"/>
            </w:rPr>
            <w:t>.1. Δείγμα</w:t>
          </w:r>
          <w:r w:rsidR="001047B8" w:rsidRPr="006F7F28">
            <w:ptab w:relativeTo="margin" w:alignment="right" w:leader="dot"/>
          </w:r>
          <w:r w:rsidR="001047B8" w:rsidRPr="00E07708">
            <w:rPr>
              <w:lang w:val="el-GR"/>
            </w:rPr>
            <w:t>1</w:t>
          </w:r>
          <w:r w:rsidR="00841908" w:rsidRPr="008D791C">
            <w:rPr>
              <w:lang w:val="el-GR"/>
            </w:rPr>
            <w:t>2</w:t>
          </w:r>
        </w:p>
        <w:p w14:paraId="2A668B29" w14:textId="34276D93" w:rsidR="001047B8" w:rsidRPr="00841908" w:rsidRDefault="00D848EE" w:rsidP="00C57997">
          <w:pPr>
            <w:spacing w:line="240" w:lineRule="auto"/>
            <w:ind w:left="1440"/>
            <w:rPr>
              <w:lang w:val="el-GR"/>
            </w:rPr>
          </w:pPr>
          <w:r w:rsidRPr="002E7AE8">
            <w:rPr>
              <w:lang w:val="el-GR"/>
            </w:rPr>
            <w:t>3</w:t>
          </w:r>
          <w:r w:rsidR="001047B8" w:rsidRPr="006F7F28">
            <w:rPr>
              <w:lang w:val="el-GR"/>
            </w:rPr>
            <w:t>.1.1. Οι 4 Συστημικές Ελληνικές Τράπεζες</w:t>
          </w:r>
          <w:r w:rsidR="001047B8" w:rsidRPr="006F7F28">
            <w:ptab w:relativeTo="margin" w:alignment="right" w:leader="dot"/>
          </w:r>
          <w:r w:rsidR="00841908" w:rsidRPr="00841908">
            <w:rPr>
              <w:lang w:val="el-GR"/>
            </w:rPr>
            <w:t>13</w:t>
          </w:r>
        </w:p>
        <w:p w14:paraId="3AF57D6F" w14:textId="06C86317" w:rsidR="001047B8" w:rsidRPr="00841908" w:rsidRDefault="00D848EE" w:rsidP="00C57997">
          <w:pPr>
            <w:spacing w:line="240" w:lineRule="auto"/>
            <w:ind w:left="2160"/>
            <w:rPr>
              <w:lang w:val="el-GR"/>
            </w:rPr>
          </w:pPr>
          <w:r w:rsidRPr="002E7AE8">
            <w:rPr>
              <w:lang w:val="el-GR"/>
            </w:rPr>
            <w:t>3</w:t>
          </w:r>
          <w:r w:rsidR="001047B8" w:rsidRPr="006F7F28">
            <w:rPr>
              <w:lang w:val="el-GR"/>
            </w:rPr>
            <w:t xml:space="preserve">.1.1.1. </w:t>
          </w:r>
          <w:bookmarkStart w:id="9" w:name="_Hlk84677196"/>
          <w:r w:rsidR="001047B8" w:rsidRPr="006F7F28">
            <w:rPr>
              <w:lang w:val="el-GR"/>
            </w:rPr>
            <w:t>Εθνική Τράπεζα της Ελλάδας</w:t>
          </w:r>
          <w:bookmarkEnd w:id="9"/>
          <w:r w:rsidR="001047B8" w:rsidRPr="006F7F28">
            <w:ptab w:relativeTo="margin" w:alignment="right" w:leader="dot"/>
          </w:r>
          <w:r w:rsidR="00841908" w:rsidRPr="00841908">
            <w:rPr>
              <w:lang w:val="el-GR"/>
            </w:rPr>
            <w:t>13</w:t>
          </w:r>
        </w:p>
        <w:p w14:paraId="76D9E77C" w14:textId="06D21E63" w:rsidR="001047B8" w:rsidRPr="008D791C" w:rsidRDefault="00D848EE" w:rsidP="00C57997">
          <w:pPr>
            <w:spacing w:line="240" w:lineRule="auto"/>
            <w:ind w:left="2160"/>
            <w:rPr>
              <w:lang w:val="el-GR"/>
            </w:rPr>
          </w:pPr>
          <w:r w:rsidRPr="002E7AE8">
            <w:rPr>
              <w:lang w:val="el-GR"/>
            </w:rPr>
            <w:t>3</w:t>
          </w:r>
          <w:r w:rsidR="001047B8" w:rsidRPr="006F7F28">
            <w:rPr>
              <w:lang w:val="el-GR"/>
            </w:rPr>
            <w:t xml:space="preserve">.1.1.2. Τράπεζα </w:t>
          </w:r>
          <w:r w:rsidR="001047B8" w:rsidRPr="006F7F28">
            <w:t>Eurobank</w:t>
          </w:r>
          <w:r w:rsidR="001047B8" w:rsidRPr="00860302">
            <w:rPr>
              <w:lang w:val="el-GR"/>
            </w:rPr>
            <w:t xml:space="preserve"> </w:t>
          </w:r>
          <w:r w:rsidR="001047B8" w:rsidRPr="006F7F28">
            <w:t>Ergasias</w:t>
          </w:r>
          <w:r w:rsidR="001047B8" w:rsidRPr="006F7F28">
            <w:ptab w:relativeTo="margin" w:alignment="right" w:leader="dot"/>
          </w:r>
          <w:r w:rsidR="00841908" w:rsidRPr="008D791C">
            <w:rPr>
              <w:lang w:val="el-GR"/>
            </w:rPr>
            <w:t>13</w:t>
          </w:r>
        </w:p>
        <w:p w14:paraId="209269EC" w14:textId="28CDEF22" w:rsidR="001047B8" w:rsidRPr="008D791C" w:rsidRDefault="00D848EE" w:rsidP="00C57997">
          <w:pPr>
            <w:spacing w:line="240" w:lineRule="auto"/>
            <w:ind w:left="2160"/>
            <w:rPr>
              <w:lang w:val="el-GR"/>
            </w:rPr>
          </w:pPr>
          <w:r w:rsidRPr="002E7AE8">
            <w:rPr>
              <w:lang w:val="el-GR"/>
            </w:rPr>
            <w:t>3</w:t>
          </w:r>
          <w:r w:rsidR="001047B8" w:rsidRPr="00860302">
            <w:rPr>
              <w:lang w:val="el-GR"/>
            </w:rPr>
            <w:t xml:space="preserve">.1.1.3. </w:t>
          </w:r>
          <w:bookmarkStart w:id="10" w:name="_Hlk84865118"/>
          <w:r w:rsidR="001047B8" w:rsidRPr="006F7F28">
            <w:rPr>
              <w:lang w:val="el-GR"/>
            </w:rPr>
            <w:t>Τράπεζα Πειραιώς</w:t>
          </w:r>
          <w:r w:rsidR="001047B8" w:rsidRPr="006F7F28">
            <w:ptab w:relativeTo="margin" w:alignment="right" w:leader="dot"/>
          </w:r>
          <w:bookmarkEnd w:id="10"/>
          <w:r w:rsidR="00841908" w:rsidRPr="008D791C">
            <w:rPr>
              <w:lang w:val="el-GR"/>
            </w:rPr>
            <w:t>14</w:t>
          </w:r>
        </w:p>
        <w:p w14:paraId="2BF64F8A" w14:textId="0F939277" w:rsidR="001047B8" w:rsidRPr="00841908" w:rsidRDefault="00D848EE" w:rsidP="00C57997">
          <w:pPr>
            <w:spacing w:line="240" w:lineRule="auto"/>
            <w:ind w:left="2160"/>
            <w:rPr>
              <w:lang w:val="el-GR"/>
            </w:rPr>
          </w:pPr>
          <w:r w:rsidRPr="002E7AE8">
            <w:rPr>
              <w:lang w:val="el-GR"/>
            </w:rPr>
            <w:t>3</w:t>
          </w:r>
          <w:r w:rsidR="001047B8" w:rsidRPr="006F7F28">
            <w:rPr>
              <w:lang w:val="el-GR"/>
            </w:rPr>
            <w:t xml:space="preserve">.1.1.4. </w:t>
          </w:r>
          <w:bookmarkStart w:id="11" w:name="_Hlk84951180"/>
          <w:r w:rsidR="001047B8" w:rsidRPr="006F7F28">
            <w:t>Alpha</w:t>
          </w:r>
          <w:r w:rsidR="001047B8" w:rsidRPr="00860302">
            <w:rPr>
              <w:lang w:val="el-GR"/>
            </w:rPr>
            <w:t xml:space="preserve"> </w:t>
          </w:r>
          <w:r w:rsidR="001047B8" w:rsidRPr="006F7F28">
            <w:t>Bank</w:t>
          </w:r>
          <w:r w:rsidR="001047B8" w:rsidRPr="006F7F28">
            <w:ptab w:relativeTo="margin" w:alignment="right" w:leader="dot"/>
          </w:r>
          <w:bookmarkEnd w:id="11"/>
          <w:r w:rsidR="00841908" w:rsidRPr="00841908">
            <w:rPr>
              <w:lang w:val="el-GR"/>
            </w:rPr>
            <w:t>15</w:t>
          </w:r>
        </w:p>
        <w:p w14:paraId="23561B94" w14:textId="385A493A" w:rsidR="001047B8" w:rsidRPr="00841908" w:rsidRDefault="00D848EE" w:rsidP="00C57997">
          <w:pPr>
            <w:spacing w:line="240" w:lineRule="auto"/>
            <w:ind w:left="1440"/>
            <w:rPr>
              <w:lang w:val="el-GR"/>
            </w:rPr>
          </w:pPr>
          <w:r w:rsidRPr="002E7AE8">
            <w:rPr>
              <w:lang w:val="el-GR"/>
            </w:rPr>
            <w:t>3</w:t>
          </w:r>
          <w:r w:rsidR="001047B8" w:rsidRPr="00860302">
            <w:rPr>
              <w:lang w:val="el-GR"/>
            </w:rPr>
            <w:t xml:space="preserve">.1.2. </w:t>
          </w:r>
          <w:r w:rsidR="001047B8" w:rsidRPr="006F7F28">
            <w:rPr>
              <w:lang w:val="el-GR"/>
            </w:rPr>
            <w:t>Δεδομένα</w:t>
          </w:r>
          <w:r w:rsidR="001047B8" w:rsidRPr="006F7F28">
            <w:ptab w:relativeTo="margin" w:alignment="right" w:leader="dot"/>
          </w:r>
          <w:r w:rsidR="00841908" w:rsidRPr="00841908">
            <w:rPr>
              <w:lang w:val="el-GR"/>
            </w:rPr>
            <w:t>15</w:t>
          </w:r>
        </w:p>
        <w:p w14:paraId="396CCA51" w14:textId="78BF991F" w:rsidR="001047B8" w:rsidRPr="00841908" w:rsidRDefault="00D848EE" w:rsidP="00C57997">
          <w:pPr>
            <w:spacing w:line="240" w:lineRule="auto"/>
            <w:ind w:left="1440"/>
            <w:rPr>
              <w:lang w:val="el-GR"/>
            </w:rPr>
          </w:pPr>
          <w:r w:rsidRPr="002E7AE8">
            <w:rPr>
              <w:lang w:val="el-GR"/>
            </w:rPr>
            <w:t>3</w:t>
          </w:r>
          <w:r w:rsidR="001047B8" w:rsidRPr="006F7F28">
            <w:rPr>
              <w:lang w:val="el-GR"/>
            </w:rPr>
            <w:t>.1.3. Εξεταζόμενη Περίοδος</w:t>
          </w:r>
          <w:r w:rsidR="001047B8" w:rsidRPr="006F7F28">
            <w:ptab w:relativeTo="margin" w:alignment="right" w:leader="dot"/>
          </w:r>
          <w:r w:rsidR="00841908" w:rsidRPr="00841908">
            <w:rPr>
              <w:lang w:val="el-GR"/>
            </w:rPr>
            <w:t>16</w:t>
          </w:r>
        </w:p>
        <w:p w14:paraId="1D9A5F31" w14:textId="3064507E" w:rsidR="001047B8" w:rsidRPr="00841908" w:rsidRDefault="00D848EE" w:rsidP="00C57997">
          <w:pPr>
            <w:spacing w:line="240" w:lineRule="auto"/>
            <w:ind w:left="720"/>
            <w:rPr>
              <w:lang w:val="el-GR"/>
            </w:rPr>
          </w:pPr>
          <w:r w:rsidRPr="00D848EE">
            <w:rPr>
              <w:lang w:val="el-GR"/>
            </w:rPr>
            <w:t>3</w:t>
          </w:r>
          <w:r w:rsidR="001047B8" w:rsidRPr="006F7F28">
            <w:rPr>
              <w:lang w:val="el-GR"/>
            </w:rPr>
            <w:t>.2. Σχεδιασμός Έρευνας</w:t>
          </w:r>
          <w:r w:rsidR="001047B8" w:rsidRPr="006F7F28">
            <w:ptab w:relativeTo="margin" w:alignment="right" w:leader="dot"/>
          </w:r>
          <w:r w:rsidR="00841908" w:rsidRPr="00841908">
            <w:rPr>
              <w:lang w:val="el-GR"/>
            </w:rPr>
            <w:t>17</w:t>
          </w:r>
        </w:p>
        <w:p w14:paraId="5A03D979" w14:textId="1A3BA007" w:rsidR="00D848EE" w:rsidRPr="00841908" w:rsidRDefault="00D848EE" w:rsidP="00C57997">
          <w:pPr>
            <w:spacing w:line="240" w:lineRule="auto"/>
            <w:ind w:left="720"/>
            <w:rPr>
              <w:lang w:val="el-GR"/>
            </w:rPr>
          </w:pPr>
          <w:r w:rsidRPr="00D848EE">
            <w:rPr>
              <w:lang w:val="el-GR"/>
            </w:rPr>
            <w:t>3.3. Σχετικές Έρευνες στην Βιβλιογραφία</w:t>
          </w:r>
          <w:r w:rsidRPr="006F7F28">
            <w:ptab w:relativeTo="margin" w:alignment="right" w:leader="dot"/>
          </w:r>
          <w:r w:rsidR="00841908" w:rsidRPr="00841908">
            <w:rPr>
              <w:lang w:val="el-GR"/>
            </w:rPr>
            <w:t>21</w:t>
          </w:r>
        </w:p>
        <w:p w14:paraId="7CDD459B" w14:textId="77777777" w:rsidR="00D848EE" w:rsidRPr="006F7F28" w:rsidRDefault="00D848EE" w:rsidP="00C57997">
          <w:pPr>
            <w:spacing w:line="240" w:lineRule="auto"/>
            <w:ind w:left="720"/>
            <w:rPr>
              <w:lang w:val="el-GR"/>
            </w:rPr>
          </w:pPr>
        </w:p>
        <w:p w14:paraId="4642A581" w14:textId="73334BC5" w:rsidR="001047B8" w:rsidRPr="00841908" w:rsidRDefault="00D848EE" w:rsidP="00C57997">
          <w:pPr>
            <w:pStyle w:val="10"/>
            <w:framePr w:wrap="around"/>
            <w:spacing w:after="0"/>
          </w:pPr>
          <w:bookmarkStart w:id="12" w:name="_Hlk84621957"/>
          <w:r>
            <w:rPr>
              <w:lang w:val="en-US"/>
            </w:rPr>
            <w:t>IV</w:t>
          </w:r>
          <w:r w:rsidR="001047B8" w:rsidRPr="00D848EE">
            <w:t>. Αποτελέσματα</w:t>
          </w:r>
          <w:bookmarkStart w:id="13" w:name="_Hlk84675543"/>
          <w:r w:rsidR="001047B8" w:rsidRPr="00D848EE">
            <w:ptab w:relativeTo="margin" w:alignment="right" w:leader="dot"/>
          </w:r>
          <w:bookmarkEnd w:id="13"/>
          <w:r w:rsidR="00841908" w:rsidRPr="00841908">
            <w:t>23</w:t>
          </w:r>
        </w:p>
        <w:p w14:paraId="05D42361" w14:textId="793F8C31" w:rsidR="001047B8" w:rsidRPr="00841908" w:rsidRDefault="00D848EE" w:rsidP="00C57997">
          <w:pPr>
            <w:spacing w:line="240" w:lineRule="auto"/>
            <w:ind w:left="720"/>
            <w:rPr>
              <w:lang w:val="el-GR"/>
            </w:rPr>
          </w:pPr>
          <w:bookmarkStart w:id="14" w:name="_Hlk84621988"/>
          <w:bookmarkEnd w:id="12"/>
          <w:r w:rsidRPr="00D848EE">
            <w:rPr>
              <w:lang w:val="el-GR"/>
            </w:rPr>
            <w:t>4</w:t>
          </w:r>
          <w:r w:rsidR="001047B8" w:rsidRPr="00BA5B26">
            <w:rPr>
              <w:lang w:val="el-GR"/>
            </w:rPr>
            <w:t>.1. Επιδόσεις Χρηματοπιστωτικών Οργανισμών</w:t>
          </w:r>
          <w:bookmarkStart w:id="15" w:name="_Hlk84677215"/>
          <w:r w:rsidR="001047B8" w:rsidRPr="006F7F28">
            <w:ptab w:relativeTo="margin" w:alignment="right" w:leader="dot"/>
          </w:r>
          <w:bookmarkEnd w:id="15"/>
          <w:r w:rsidR="00841908" w:rsidRPr="00841908">
            <w:rPr>
              <w:lang w:val="el-GR"/>
            </w:rPr>
            <w:t>23</w:t>
          </w:r>
        </w:p>
        <w:p w14:paraId="365DE7BA" w14:textId="01CED45A" w:rsidR="001047B8" w:rsidRPr="00841908" w:rsidRDefault="00D848EE" w:rsidP="00C57997">
          <w:pPr>
            <w:spacing w:line="240" w:lineRule="auto"/>
            <w:ind w:left="1440"/>
            <w:rPr>
              <w:lang w:val="el-GR"/>
            </w:rPr>
          </w:pPr>
          <w:r w:rsidRPr="00D848EE">
            <w:rPr>
              <w:lang w:val="el-GR"/>
            </w:rPr>
            <w:t>4</w:t>
          </w:r>
          <w:r w:rsidR="001047B8" w:rsidRPr="00860302">
            <w:rPr>
              <w:lang w:val="el-GR"/>
            </w:rPr>
            <w:t>.1.1</w:t>
          </w:r>
          <w:r w:rsidR="001047B8" w:rsidRPr="00183575">
            <w:rPr>
              <w:lang w:val="el-GR"/>
            </w:rPr>
            <w:t>. Εθνική Τράπεζα της Ελλάδας</w:t>
          </w:r>
          <w:r w:rsidR="001047B8" w:rsidRPr="006F7F28">
            <w:ptab w:relativeTo="margin" w:alignment="right" w:leader="dot"/>
          </w:r>
          <w:r w:rsidR="00841908" w:rsidRPr="00841908">
            <w:rPr>
              <w:lang w:val="el-GR"/>
            </w:rPr>
            <w:t>23</w:t>
          </w:r>
        </w:p>
        <w:p w14:paraId="4B8F99D8" w14:textId="05125160" w:rsidR="001047B8" w:rsidRPr="008D791C" w:rsidRDefault="00D848EE" w:rsidP="00C57997">
          <w:pPr>
            <w:spacing w:line="240" w:lineRule="auto"/>
            <w:ind w:left="1440"/>
            <w:rPr>
              <w:lang w:val="el-GR"/>
            </w:rPr>
          </w:pPr>
          <w:r w:rsidRPr="002E7AE8">
            <w:rPr>
              <w:lang w:val="el-GR"/>
            </w:rPr>
            <w:t>4</w:t>
          </w:r>
          <w:r w:rsidR="001047B8" w:rsidRPr="00490E26">
            <w:rPr>
              <w:lang w:val="el-GR"/>
            </w:rPr>
            <w:t xml:space="preserve">.1.2. </w:t>
          </w:r>
          <w:r w:rsidR="001047B8" w:rsidRPr="006F7F28">
            <w:rPr>
              <w:lang w:val="el-GR"/>
            </w:rPr>
            <w:t xml:space="preserve">Τράπεζα </w:t>
          </w:r>
          <w:r w:rsidR="001047B8" w:rsidRPr="006F7F28">
            <w:t>Eurobank</w:t>
          </w:r>
          <w:r w:rsidR="001047B8" w:rsidRPr="00860302">
            <w:rPr>
              <w:lang w:val="el-GR"/>
            </w:rPr>
            <w:t xml:space="preserve"> </w:t>
          </w:r>
          <w:r w:rsidR="001047B8" w:rsidRPr="006F7F28">
            <w:t>Ergasias</w:t>
          </w:r>
          <w:r w:rsidR="001047B8" w:rsidRPr="006F7F28">
            <w:ptab w:relativeTo="margin" w:alignment="right" w:leader="dot"/>
          </w:r>
          <w:r w:rsidR="00841908" w:rsidRPr="00841908">
            <w:rPr>
              <w:lang w:val="el-GR"/>
            </w:rPr>
            <w:t>2</w:t>
          </w:r>
          <w:r w:rsidR="00841908" w:rsidRPr="008D791C">
            <w:rPr>
              <w:lang w:val="el-GR"/>
            </w:rPr>
            <w:t>9</w:t>
          </w:r>
        </w:p>
        <w:p w14:paraId="5F0DD40D" w14:textId="7C04FDCD" w:rsidR="001047B8" w:rsidRPr="008D791C" w:rsidRDefault="00D848EE" w:rsidP="00C57997">
          <w:pPr>
            <w:spacing w:line="240" w:lineRule="auto"/>
            <w:ind w:left="1440"/>
            <w:rPr>
              <w:lang w:val="el-GR"/>
            </w:rPr>
          </w:pPr>
          <w:r w:rsidRPr="002E7AE8">
            <w:rPr>
              <w:lang w:val="el-GR"/>
            </w:rPr>
            <w:t>4</w:t>
          </w:r>
          <w:r w:rsidR="001047B8" w:rsidRPr="000A6127">
            <w:rPr>
              <w:lang w:val="el-GR"/>
            </w:rPr>
            <w:t xml:space="preserve">.1.3. </w:t>
          </w:r>
          <w:r w:rsidR="001047B8" w:rsidRPr="006F7F28">
            <w:rPr>
              <w:lang w:val="el-GR"/>
            </w:rPr>
            <w:t>Τράπεζα Πειραιώς</w:t>
          </w:r>
          <w:r w:rsidR="001047B8" w:rsidRPr="006F7F28">
            <w:ptab w:relativeTo="margin" w:alignment="right" w:leader="dot"/>
          </w:r>
          <w:r w:rsidR="00841908" w:rsidRPr="008D791C">
            <w:rPr>
              <w:lang w:val="el-GR"/>
            </w:rPr>
            <w:t>34</w:t>
          </w:r>
        </w:p>
        <w:p w14:paraId="308CD5BC" w14:textId="17E619B6" w:rsidR="001047B8" w:rsidRPr="008D791C" w:rsidRDefault="00D848EE" w:rsidP="00C57997">
          <w:pPr>
            <w:spacing w:line="240" w:lineRule="auto"/>
            <w:ind w:left="1440"/>
            <w:rPr>
              <w:lang w:val="el-GR"/>
            </w:rPr>
          </w:pPr>
          <w:r w:rsidRPr="002E7AE8">
            <w:rPr>
              <w:lang w:val="el-GR"/>
            </w:rPr>
            <w:t>4</w:t>
          </w:r>
          <w:r w:rsidR="001047B8" w:rsidRPr="00515A31">
            <w:rPr>
              <w:lang w:val="el-GR"/>
            </w:rPr>
            <w:t xml:space="preserve">.1.4. </w:t>
          </w:r>
          <w:r w:rsidR="001047B8" w:rsidRPr="006F7F28">
            <w:t>Alpha</w:t>
          </w:r>
          <w:r w:rsidR="001047B8" w:rsidRPr="00860302">
            <w:rPr>
              <w:lang w:val="el-GR"/>
            </w:rPr>
            <w:t xml:space="preserve"> </w:t>
          </w:r>
          <w:r w:rsidR="001047B8" w:rsidRPr="006F7F28">
            <w:t>Bank</w:t>
          </w:r>
          <w:r w:rsidR="001047B8" w:rsidRPr="006F7F28">
            <w:ptab w:relativeTo="margin" w:alignment="right" w:leader="dot"/>
          </w:r>
          <w:r w:rsidR="001047B8" w:rsidRPr="00E07708">
            <w:rPr>
              <w:lang w:val="el-GR"/>
            </w:rPr>
            <w:t>4</w:t>
          </w:r>
          <w:r w:rsidR="00841908" w:rsidRPr="008D791C">
            <w:rPr>
              <w:lang w:val="el-GR"/>
            </w:rPr>
            <w:t>0</w:t>
          </w:r>
        </w:p>
        <w:p w14:paraId="25F04D10" w14:textId="1C072A2A" w:rsidR="001047B8" w:rsidRPr="008D791C" w:rsidRDefault="00D848EE" w:rsidP="00C57997">
          <w:pPr>
            <w:spacing w:line="240" w:lineRule="auto"/>
            <w:ind w:left="720"/>
            <w:rPr>
              <w:lang w:val="el-GR"/>
            </w:rPr>
          </w:pPr>
          <w:r w:rsidRPr="002E7AE8">
            <w:rPr>
              <w:lang w:val="el-GR"/>
            </w:rPr>
            <w:t>4</w:t>
          </w:r>
          <w:r w:rsidR="001047B8">
            <w:rPr>
              <w:lang w:val="el-GR"/>
            </w:rPr>
            <w:t>.2. Αναλύσεις Παλινδρόμησης</w:t>
          </w:r>
          <w:r w:rsidR="001047B8" w:rsidRPr="006F7F28">
            <w:ptab w:relativeTo="margin" w:alignment="right" w:leader="dot"/>
          </w:r>
          <w:r w:rsidR="00B00811" w:rsidRPr="008D791C">
            <w:rPr>
              <w:lang w:val="el-GR"/>
            </w:rPr>
            <w:t>45</w:t>
          </w:r>
        </w:p>
        <w:p w14:paraId="0EC92865" w14:textId="0173CBE9" w:rsidR="001047B8" w:rsidRPr="008D791C" w:rsidRDefault="00D848EE" w:rsidP="00C57997">
          <w:pPr>
            <w:spacing w:line="240" w:lineRule="auto"/>
            <w:ind w:left="1440"/>
            <w:rPr>
              <w:lang w:val="el-GR"/>
            </w:rPr>
          </w:pPr>
          <w:r w:rsidRPr="002E7AE8">
            <w:rPr>
              <w:lang w:val="el-GR"/>
            </w:rPr>
            <w:t>4</w:t>
          </w:r>
          <w:r w:rsidR="001047B8">
            <w:rPr>
              <w:lang w:val="el-GR"/>
            </w:rPr>
            <w:t>.2.1. Πρώτη Παλινδρόμηση</w:t>
          </w:r>
          <w:r w:rsidR="001047B8" w:rsidRPr="006F7F28">
            <w:ptab w:relativeTo="margin" w:alignment="right" w:leader="dot"/>
          </w:r>
          <w:r w:rsidR="00B00811" w:rsidRPr="008D791C">
            <w:rPr>
              <w:lang w:val="el-GR"/>
            </w:rPr>
            <w:t>45</w:t>
          </w:r>
        </w:p>
        <w:p w14:paraId="561F6C67" w14:textId="499E3E2E" w:rsidR="001047B8" w:rsidRPr="008D791C" w:rsidRDefault="00D848EE" w:rsidP="00C57997">
          <w:pPr>
            <w:spacing w:line="240" w:lineRule="auto"/>
            <w:ind w:left="1440"/>
            <w:rPr>
              <w:lang w:val="el-GR"/>
            </w:rPr>
          </w:pPr>
          <w:r w:rsidRPr="002E7AE8">
            <w:rPr>
              <w:lang w:val="el-GR"/>
            </w:rPr>
            <w:t>4</w:t>
          </w:r>
          <w:r w:rsidR="001047B8">
            <w:rPr>
              <w:lang w:val="el-GR"/>
            </w:rPr>
            <w:t>.2.2. Δεύτερη Παλινδρόμηση</w:t>
          </w:r>
          <w:r w:rsidR="001047B8" w:rsidRPr="006F7F28">
            <w:ptab w:relativeTo="margin" w:alignment="right" w:leader="dot"/>
          </w:r>
          <w:r w:rsidR="00B00811" w:rsidRPr="008D791C">
            <w:rPr>
              <w:lang w:val="el-GR"/>
            </w:rPr>
            <w:t>49</w:t>
          </w:r>
        </w:p>
        <w:p w14:paraId="0E8E90B9" w14:textId="61E6185D" w:rsidR="001047B8" w:rsidRPr="00B00811" w:rsidRDefault="00D848EE" w:rsidP="00C57997">
          <w:pPr>
            <w:spacing w:line="240" w:lineRule="auto"/>
            <w:ind w:left="1440"/>
            <w:rPr>
              <w:lang w:val="el-GR"/>
            </w:rPr>
          </w:pPr>
          <w:r w:rsidRPr="002E7AE8">
            <w:rPr>
              <w:lang w:val="el-GR"/>
            </w:rPr>
            <w:t>4</w:t>
          </w:r>
          <w:r w:rsidR="001047B8" w:rsidRPr="00335981">
            <w:rPr>
              <w:lang w:val="el-GR"/>
            </w:rPr>
            <w:t xml:space="preserve">.2.3. </w:t>
          </w:r>
          <w:r w:rsidR="001047B8">
            <w:rPr>
              <w:lang w:val="el-GR"/>
            </w:rPr>
            <w:t>Τρίτη Παλινδρόμηση</w:t>
          </w:r>
          <w:r w:rsidR="001047B8" w:rsidRPr="006F7F28">
            <w:ptab w:relativeTo="margin" w:alignment="right" w:leader="dot"/>
          </w:r>
          <w:r w:rsidR="001047B8" w:rsidRPr="00070949">
            <w:rPr>
              <w:lang w:val="el-GR"/>
            </w:rPr>
            <w:t>5</w:t>
          </w:r>
          <w:r w:rsidR="00B00811" w:rsidRPr="00B00811">
            <w:rPr>
              <w:lang w:val="el-GR"/>
            </w:rPr>
            <w:t>2</w:t>
          </w:r>
        </w:p>
        <w:p w14:paraId="7753532A" w14:textId="77777777" w:rsidR="00D848EE" w:rsidRDefault="00D848EE" w:rsidP="00C57997">
          <w:pPr>
            <w:spacing w:line="240" w:lineRule="auto"/>
            <w:ind w:firstLine="0"/>
            <w:rPr>
              <w:lang w:val="el-GR"/>
            </w:rPr>
          </w:pPr>
        </w:p>
        <w:p w14:paraId="0E52D2DD" w14:textId="49C14897" w:rsidR="001047B8" w:rsidRPr="00B00811" w:rsidRDefault="00D848EE" w:rsidP="00C57997">
          <w:pPr>
            <w:spacing w:line="240" w:lineRule="auto"/>
            <w:ind w:firstLine="0"/>
            <w:rPr>
              <w:lang w:val="el-GR"/>
            </w:rPr>
          </w:pPr>
          <w:r>
            <w:t>V</w:t>
          </w:r>
          <w:r w:rsidRPr="00D848EE">
            <w:rPr>
              <w:lang w:val="el-GR"/>
            </w:rPr>
            <w:t>. ΣΥΖΗΤΗΣΗ/ΣΥΜΠΕΡΑΣΜΑΤΑ &amp; ΠΡΟΤΑΣΕΙΣ ΓΙΑ ΜΕΛΛΟΝΤΙΚΗ ΕΡΕΥΝΑ</w:t>
          </w:r>
          <w:r w:rsidR="001047B8" w:rsidRPr="006F7F28">
            <w:ptab w:relativeTo="margin" w:alignment="right" w:leader="dot"/>
          </w:r>
          <w:r w:rsidR="001047B8" w:rsidRPr="00070949">
            <w:rPr>
              <w:lang w:val="el-GR"/>
            </w:rPr>
            <w:t>5</w:t>
          </w:r>
          <w:r w:rsidR="00B00811" w:rsidRPr="00B00811">
            <w:rPr>
              <w:lang w:val="el-GR"/>
            </w:rPr>
            <w:t>5</w:t>
          </w:r>
        </w:p>
        <w:p w14:paraId="1A7030F8" w14:textId="1088BBE3" w:rsidR="001047B8" w:rsidRPr="008D791C" w:rsidRDefault="00D848EE" w:rsidP="00C57997">
          <w:pPr>
            <w:pStyle w:val="20"/>
            <w:spacing w:before="0" w:after="0" w:line="240" w:lineRule="auto"/>
          </w:pPr>
          <w:bookmarkStart w:id="16" w:name="_Hlk84622019"/>
          <w:bookmarkEnd w:id="14"/>
          <w:r w:rsidRPr="006F7F28">
            <w:t>ΒΙΒΛΙΟΓΡΑΦΙΑ</w:t>
          </w:r>
          <w:r w:rsidR="001047B8" w:rsidRPr="006F7F28">
            <w:ptab w:relativeTo="margin" w:alignment="right" w:leader="dot"/>
          </w:r>
          <w:r w:rsidR="001047B8" w:rsidRPr="00070949">
            <w:t>6</w:t>
          </w:r>
          <w:r w:rsidR="00B00811" w:rsidRPr="008D791C">
            <w:t>1</w:t>
          </w:r>
        </w:p>
        <w:bookmarkEnd w:id="16"/>
        <w:p w14:paraId="5D1354E9" w14:textId="77777777" w:rsidR="001047B8" w:rsidRDefault="001047B8" w:rsidP="00C57997">
          <w:pPr>
            <w:spacing w:line="240" w:lineRule="auto"/>
            <w:rPr>
              <w:b/>
              <w:bCs/>
              <w:sz w:val="28"/>
              <w:szCs w:val="28"/>
              <w:u w:val="single"/>
              <w:lang w:val="el-GR"/>
            </w:rPr>
          </w:pPr>
        </w:p>
        <w:p w14:paraId="3A807046" w14:textId="77777777" w:rsidR="001047B8" w:rsidRDefault="001047B8" w:rsidP="00D848EE">
          <w:pPr>
            <w:spacing w:after="120" w:line="240" w:lineRule="auto"/>
            <w:rPr>
              <w:b/>
              <w:bCs/>
              <w:sz w:val="28"/>
              <w:szCs w:val="28"/>
              <w:u w:val="single"/>
              <w:lang w:val="el-GR"/>
            </w:rPr>
          </w:pPr>
        </w:p>
        <w:p w14:paraId="6C6001DF" w14:textId="77777777" w:rsidR="001047B8" w:rsidRDefault="001047B8" w:rsidP="00D848EE">
          <w:pPr>
            <w:spacing w:after="120" w:line="240" w:lineRule="auto"/>
            <w:rPr>
              <w:b/>
              <w:bCs/>
              <w:sz w:val="28"/>
              <w:szCs w:val="28"/>
              <w:u w:val="single"/>
              <w:lang w:val="el-GR"/>
            </w:rPr>
          </w:pPr>
        </w:p>
        <w:p w14:paraId="6A46DDB2" w14:textId="77777777" w:rsidR="00D576EB" w:rsidRDefault="00D576EB" w:rsidP="00D576EB">
          <w:pPr>
            <w:spacing w:after="120" w:line="240" w:lineRule="auto"/>
            <w:ind w:firstLine="0"/>
            <w:rPr>
              <w:b/>
              <w:bCs/>
              <w:sz w:val="28"/>
              <w:szCs w:val="28"/>
              <w:u w:val="single"/>
              <w:lang w:val="el-GR"/>
            </w:rPr>
          </w:pPr>
        </w:p>
        <w:p w14:paraId="7D09AF93" w14:textId="77777777" w:rsidR="00D576EB" w:rsidRDefault="00D576EB" w:rsidP="00D576EB">
          <w:pPr>
            <w:spacing w:after="120" w:line="240" w:lineRule="auto"/>
            <w:ind w:firstLine="0"/>
            <w:rPr>
              <w:b/>
              <w:bCs/>
              <w:sz w:val="28"/>
              <w:szCs w:val="28"/>
              <w:u w:val="single"/>
              <w:lang w:val="el-GR"/>
            </w:rPr>
          </w:pPr>
        </w:p>
        <w:p w14:paraId="0C1430E3" w14:textId="77777777" w:rsidR="00D576EB" w:rsidRDefault="00D576EB" w:rsidP="00D576EB">
          <w:pPr>
            <w:spacing w:after="120" w:line="240" w:lineRule="auto"/>
            <w:ind w:firstLine="0"/>
            <w:rPr>
              <w:b/>
              <w:bCs/>
              <w:sz w:val="28"/>
              <w:szCs w:val="28"/>
              <w:u w:val="single"/>
              <w:lang w:val="el-GR"/>
            </w:rPr>
          </w:pPr>
        </w:p>
        <w:p w14:paraId="1D359EE1" w14:textId="77777777" w:rsidR="00D576EB" w:rsidRDefault="00D576EB" w:rsidP="00D576EB">
          <w:pPr>
            <w:spacing w:after="120" w:line="240" w:lineRule="auto"/>
            <w:ind w:firstLine="0"/>
            <w:rPr>
              <w:b/>
              <w:bCs/>
              <w:sz w:val="28"/>
              <w:szCs w:val="28"/>
              <w:u w:val="single"/>
              <w:lang w:val="el-GR"/>
            </w:rPr>
          </w:pPr>
        </w:p>
        <w:p w14:paraId="4A83C3C0" w14:textId="77777777" w:rsidR="00D576EB" w:rsidRDefault="00D576EB" w:rsidP="00D576EB">
          <w:pPr>
            <w:spacing w:after="120" w:line="240" w:lineRule="auto"/>
            <w:ind w:firstLine="0"/>
            <w:rPr>
              <w:b/>
              <w:bCs/>
              <w:sz w:val="28"/>
              <w:szCs w:val="28"/>
              <w:u w:val="single"/>
              <w:lang w:val="el-GR"/>
            </w:rPr>
          </w:pPr>
        </w:p>
        <w:p w14:paraId="3A34BD0D" w14:textId="629B14E0" w:rsidR="001047B8" w:rsidRPr="00D576EB" w:rsidRDefault="00435414" w:rsidP="00D576EB">
          <w:pPr>
            <w:spacing w:before="200" w:after="200"/>
            <w:ind w:firstLine="0"/>
            <w:jc w:val="center"/>
            <w:rPr>
              <w:b/>
              <w:bCs/>
              <w:sz w:val="28"/>
              <w:szCs w:val="28"/>
              <w:lang w:val="el-GR"/>
            </w:rPr>
          </w:pPr>
          <w:bookmarkStart w:id="17" w:name="_Hlk88474457"/>
          <w:r>
            <w:rPr>
              <w:b/>
              <w:bCs/>
              <w:sz w:val="28"/>
              <w:szCs w:val="28"/>
              <w:lang w:val="el-GR"/>
            </w:rPr>
            <w:t>ΚΑΤΑΛΟΓΟΣ ΣΧΗΜΑΤΩΝ</w:t>
          </w:r>
        </w:p>
        <w:bookmarkEnd w:id="17"/>
        <w:p w14:paraId="14456B13" w14:textId="27BD6DDD" w:rsidR="001047B8" w:rsidRPr="00841908" w:rsidRDefault="00D576EB" w:rsidP="00D576EB">
          <w:pPr>
            <w:spacing w:after="120" w:line="240" w:lineRule="auto"/>
            <w:ind w:firstLine="0"/>
            <w:rPr>
              <w:lang w:val="el-GR"/>
            </w:rPr>
          </w:pPr>
          <w:r w:rsidRPr="00D576EB">
            <w:rPr>
              <w:b/>
              <w:bCs/>
              <w:lang w:val="el-GR"/>
            </w:rPr>
            <w:t>Σχήμα</w:t>
          </w:r>
          <w:r w:rsidR="001047B8" w:rsidRPr="00D576EB">
            <w:rPr>
              <w:b/>
              <w:bCs/>
              <w:lang w:val="el-GR"/>
            </w:rPr>
            <w:t xml:space="preserve"> 1α</w:t>
          </w:r>
          <w:r w:rsidRPr="00D576EB">
            <w:rPr>
              <w:b/>
              <w:bCs/>
              <w:lang w:val="el-GR"/>
            </w:rPr>
            <w:t>.</w:t>
          </w:r>
          <w:r w:rsidR="001047B8" w:rsidRPr="00E708A7">
            <w:rPr>
              <w:lang w:val="el-GR"/>
            </w:rPr>
            <w:t xml:space="preserve"> Καθαρά Κέρδη/ Ζημίες – Εθνική Τράπεζα Της Ελλάδος</w:t>
          </w:r>
          <w:r w:rsidR="001047B8" w:rsidRPr="006F7F28">
            <w:ptab w:relativeTo="margin" w:alignment="right" w:leader="dot"/>
          </w:r>
          <w:r w:rsidR="00841908" w:rsidRPr="00841908">
            <w:rPr>
              <w:lang w:val="el-GR"/>
            </w:rPr>
            <w:t>24</w:t>
          </w:r>
        </w:p>
        <w:p w14:paraId="46297917" w14:textId="255682A1" w:rsidR="001047B8" w:rsidRPr="00841908" w:rsidRDefault="00D576EB" w:rsidP="00D576EB">
          <w:pPr>
            <w:spacing w:after="120" w:line="240" w:lineRule="auto"/>
            <w:ind w:firstLine="0"/>
            <w:rPr>
              <w:lang w:val="el-GR"/>
            </w:rPr>
          </w:pPr>
          <w:r w:rsidRPr="00D576EB">
            <w:rPr>
              <w:b/>
              <w:bCs/>
              <w:lang w:val="el-GR"/>
            </w:rPr>
            <w:t>Σχήμα</w:t>
          </w:r>
          <w:r w:rsidR="001047B8" w:rsidRPr="00D576EB">
            <w:rPr>
              <w:b/>
              <w:bCs/>
              <w:lang w:val="el-GR"/>
            </w:rPr>
            <w:t xml:space="preserve"> 1β</w:t>
          </w:r>
          <w:r>
            <w:rPr>
              <w:lang w:val="el-GR"/>
            </w:rPr>
            <w:t>.</w:t>
          </w:r>
          <w:r w:rsidR="001047B8" w:rsidRPr="00E708A7">
            <w:rPr>
              <w:lang w:val="el-GR"/>
            </w:rPr>
            <w:t xml:space="preserve"> Ποσοστιαίες Μεταβολές Καθαρών Κερδών/ Ζημίων – Εθνική Τράπεζα της Ελλάδος</w:t>
          </w:r>
          <w:r w:rsidR="001047B8" w:rsidRPr="006F7F28">
            <w:ptab w:relativeTo="margin" w:alignment="right" w:leader="dot"/>
          </w:r>
          <w:r w:rsidR="00841908" w:rsidRPr="00841908">
            <w:rPr>
              <w:lang w:val="el-GR"/>
            </w:rPr>
            <w:t>24</w:t>
          </w:r>
        </w:p>
        <w:p w14:paraId="4017423E" w14:textId="0EF86993" w:rsidR="001047B8" w:rsidRPr="00841908" w:rsidRDefault="00D576EB" w:rsidP="00D576EB">
          <w:pPr>
            <w:spacing w:after="120" w:line="240" w:lineRule="auto"/>
            <w:ind w:firstLine="0"/>
            <w:rPr>
              <w:lang w:val="el-GR"/>
            </w:rPr>
          </w:pPr>
          <w:r w:rsidRPr="00D576EB">
            <w:rPr>
              <w:b/>
              <w:bCs/>
              <w:lang w:val="el-GR"/>
            </w:rPr>
            <w:t>Σχήμα</w:t>
          </w:r>
          <w:r w:rsidR="001047B8" w:rsidRPr="00D576EB">
            <w:rPr>
              <w:b/>
              <w:bCs/>
              <w:lang w:val="el-GR"/>
            </w:rPr>
            <w:t xml:space="preserve"> 2α</w:t>
          </w:r>
          <w:r w:rsidRPr="00D576EB">
            <w:rPr>
              <w:b/>
              <w:bCs/>
              <w:lang w:val="el-GR"/>
            </w:rPr>
            <w:t>.</w:t>
          </w:r>
          <w:r w:rsidR="001047B8" w:rsidRPr="00E708A7">
            <w:rPr>
              <w:lang w:val="el-GR"/>
            </w:rPr>
            <w:t xml:space="preserve"> Δείκτης ROA – Εθνική Τράπεζα Της Ελλάδος</w:t>
          </w:r>
          <w:r w:rsidR="001047B8" w:rsidRPr="006F7F28">
            <w:ptab w:relativeTo="margin" w:alignment="right" w:leader="dot"/>
          </w:r>
          <w:r w:rsidR="00841908" w:rsidRPr="00841908">
            <w:rPr>
              <w:lang w:val="el-GR"/>
            </w:rPr>
            <w:t>25</w:t>
          </w:r>
        </w:p>
        <w:p w14:paraId="57552B06" w14:textId="75737448" w:rsidR="001047B8" w:rsidRPr="00841908" w:rsidRDefault="00D576EB" w:rsidP="00D576EB">
          <w:pPr>
            <w:spacing w:after="120" w:line="240" w:lineRule="auto"/>
            <w:ind w:firstLine="0"/>
            <w:rPr>
              <w:lang w:val="el-GR"/>
            </w:rPr>
          </w:pPr>
          <w:r w:rsidRPr="00D576EB">
            <w:rPr>
              <w:b/>
              <w:bCs/>
              <w:lang w:val="el-GR"/>
            </w:rPr>
            <w:t xml:space="preserve">Σχήμα </w:t>
          </w:r>
          <w:r w:rsidR="001047B8" w:rsidRPr="00D576EB">
            <w:rPr>
              <w:b/>
              <w:bCs/>
              <w:lang w:val="el-GR"/>
            </w:rPr>
            <w:t>2β</w:t>
          </w:r>
          <w:r w:rsidRPr="00D576EB">
            <w:rPr>
              <w:b/>
              <w:bCs/>
              <w:lang w:val="el-GR"/>
            </w:rPr>
            <w:t>.</w:t>
          </w:r>
          <w:r w:rsidR="001047B8" w:rsidRPr="00E708A7">
            <w:rPr>
              <w:lang w:val="el-GR"/>
            </w:rPr>
            <w:t xml:space="preserve"> Ποσοστιαίες Μεταβολές Δείκτη ROA – Εθνική Τράπεζα της Ελλάδος</w:t>
          </w:r>
          <w:r w:rsidR="001047B8" w:rsidRPr="006F7F28">
            <w:ptab w:relativeTo="margin" w:alignment="right" w:leader="dot"/>
          </w:r>
          <w:r w:rsidR="00841908" w:rsidRPr="00841908">
            <w:rPr>
              <w:lang w:val="el-GR"/>
            </w:rPr>
            <w:t>26</w:t>
          </w:r>
        </w:p>
        <w:p w14:paraId="79607199" w14:textId="0CE16146" w:rsidR="001047B8" w:rsidRPr="00841908" w:rsidRDefault="00D576EB" w:rsidP="00D576EB">
          <w:pPr>
            <w:spacing w:after="120" w:line="240" w:lineRule="auto"/>
            <w:ind w:firstLine="0"/>
            <w:rPr>
              <w:lang w:val="el-GR"/>
            </w:rPr>
          </w:pPr>
          <w:r w:rsidRPr="00BE3001">
            <w:rPr>
              <w:b/>
              <w:bCs/>
              <w:lang w:val="el-GR"/>
            </w:rPr>
            <w:t>Σχήμα</w:t>
          </w:r>
          <w:r w:rsidR="001047B8" w:rsidRPr="00BE3001">
            <w:rPr>
              <w:b/>
              <w:bCs/>
              <w:lang w:val="el-GR"/>
            </w:rPr>
            <w:t xml:space="preserve"> 3α</w:t>
          </w:r>
          <w:r w:rsidR="00BE3001" w:rsidRPr="00BE3001">
            <w:rPr>
              <w:b/>
              <w:bCs/>
              <w:lang w:val="el-GR"/>
            </w:rPr>
            <w:t>.</w:t>
          </w:r>
          <w:r w:rsidR="001047B8" w:rsidRPr="00E708A7">
            <w:rPr>
              <w:lang w:val="el-GR"/>
            </w:rPr>
            <w:t xml:space="preserve"> Δείκτης ROE – Εθνική Τράπεζα Της Ελλάδος</w:t>
          </w:r>
          <w:r w:rsidR="001047B8" w:rsidRPr="006F7F28">
            <w:ptab w:relativeTo="margin" w:alignment="right" w:leader="dot"/>
          </w:r>
          <w:r w:rsidR="00841908" w:rsidRPr="00841908">
            <w:rPr>
              <w:lang w:val="el-GR"/>
            </w:rPr>
            <w:t>27</w:t>
          </w:r>
        </w:p>
        <w:p w14:paraId="03F2F46B" w14:textId="607C0675" w:rsidR="001047B8" w:rsidRPr="00841908" w:rsidRDefault="00D576EB" w:rsidP="00D576EB">
          <w:pPr>
            <w:spacing w:after="120" w:line="240" w:lineRule="auto"/>
            <w:ind w:firstLine="0"/>
            <w:rPr>
              <w:lang w:val="el-GR"/>
            </w:rPr>
          </w:pPr>
          <w:r w:rsidRPr="00BE3001">
            <w:rPr>
              <w:b/>
              <w:bCs/>
              <w:lang w:val="el-GR"/>
            </w:rPr>
            <w:t>Σχήμα</w:t>
          </w:r>
          <w:r w:rsidR="001047B8" w:rsidRPr="00BE3001">
            <w:rPr>
              <w:b/>
              <w:bCs/>
              <w:lang w:val="el-GR"/>
            </w:rPr>
            <w:t xml:space="preserve"> 3β</w:t>
          </w:r>
          <w:r w:rsidR="00BE3001" w:rsidRPr="00BE3001">
            <w:rPr>
              <w:b/>
              <w:bCs/>
              <w:lang w:val="el-GR"/>
            </w:rPr>
            <w:t>.</w:t>
          </w:r>
          <w:r w:rsidR="001047B8" w:rsidRPr="00E708A7">
            <w:rPr>
              <w:lang w:val="el-GR"/>
            </w:rPr>
            <w:t xml:space="preserve"> Ποσοστιαίες Μεταβολές Δείκτη ROE – Εθνική Τράπεζα της Ελλάδος</w:t>
          </w:r>
          <w:r w:rsidR="001047B8" w:rsidRPr="006F7F28">
            <w:ptab w:relativeTo="margin" w:alignment="right" w:leader="dot"/>
          </w:r>
          <w:r w:rsidR="00841908" w:rsidRPr="00841908">
            <w:rPr>
              <w:lang w:val="el-GR"/>
            </w:rPr>
            <w:t>28</w:t>
          </w:r>
        </w:p>
        <w:p w14:paraId="1A976DD6" w14:textId="709F7036" w:rsidR="001047B8" w:rsidRPr="00841908" w:rsidRDefault="00D576EB" w:rsidP="00D576EB">
          <w:pPr>
            <w:spacing w:after="120" w:line="240" w:lineRule="auto"/>
            <w:ind w:firstLine="0"/>
            <w:rPr>
              <w:lang w:val="el-GR"/>
            </w:rPr>
          </w:pPr>
          <w:r w:rsidRPr="00BE3001">
            <w:rPr>
              <w:b/>
              <w:bCs/>
              <w:lang w:val="el-GR"/>
            </w:rPr>
            <w:t>Σχήμα</w:t>
          </w:r>
          <w:r w:rsidR="001047B8" w:rsidRPr="00BE3001">
            <w:rPr>
              <w:b/>
              <w:bCs/>
              <w:lang w:val="el-GR"/>
            </w:rPr>
            <w:t xml:space="preserve"> 4</w:t>
          </w:r>
          <w:r w:rsidR="00BE3001" w:rsidRPr="00BE3001">
            <w:rPr>
              <w:b/>
              <w:bCs/>
              <w:lang w:val="el-GR"/>
            </w:rPr>
            <w:t>.</w:t>
          </w:r>
          <w:r w:rsidR="001047B8" w:rsidRPr="00E708A7">
            <w:rPr>
              <w:lang w:val="el-GR"/>
            </w:rPr>
            <w:t xml:space="preserve"> Τιμή Μετοχής (2005 έως 2020) – Εθνική Τράπεζα της Ελλάδος</w:t>
          </w:r>
          <w:r w:rsidR="001047B8" w:rsidRPr="006F7F28">
            <w:ptab w:relativeTo="margin" w:alignment="right" w:leader="dot"/>
          </w:r>
          <w:r w:rsidR="00841908" w:rsidRPr="00841908">
            <w:rPr>
              <w:lang w:val="el-GR"/>
            </w:rPr>
            <w:t>29</w:t>
          </w:r>
        </w:p>
        <w:p w14:paraId="3E5D70BA" w14:textId="66DA4298" w:rsidR="001047B8" w:rsidRPr="00841908" w:rsidRDefault="00D576EB" w:rsidP="00D576EB">
          <w:pPr>
            <w:spacing w:after="120" w:line="240" w:lineRule="auto"/>
            <w:ind w:firstLine="0"/>
            <w:rPr>
              <w:lang w:val="el-GR"/>
            </w:rPr>
          </w:pPr>
          <w:r w:rsidRPr="00BE3001">
            <w:rPr>
              <w:b/>
              <w:bCs/>
              <w:lang w:val="el-GR"/>
            </w:rPr>
            <w:t xml:space="preserve">Σχήμα </w:t>
          </w:r>
          <w:r w:rsidR="001047B8" w:rsidRPr="00BE3001">
            <w:rPr>
              <w:b/>
              <w:bCs/>
              <w:lang w:val="el-GR"/>
            </w:rPr>
            <w:t>5α</w:t>
          </w:r>
          <w:r w:rsidR="00BE3001" w:rsidRPr="00BE3001">
            <w:rPr>
              <w:b/>
              <w:bCs/>
              <w:lang w:val="el-GR"/>
            </w:rPr>
            <w:t>.</w:t>
          </w:r>
          <w:r w:rsidR="001047B8" w:rsidRPr="00E708A7">
            <w:rPr>
              <w:lang w:val="el-GR"/>
            </w:rPr>
            <w:t xml:space="preserve"> Καθαρά Κέρδη/ Ζημίες – Τράπεζα </w:t>
          </w:r>
          <w:r w:rsidR="001047B8" w:rsidRPr="00E708A7">
            <w:rPr>
              <w:lang w:val="en-GB"/>
            </w:rPr>
            <w:t>Eurobank</w:t>
          </w:r>
          <w:r w:rsidR="001047B8" w:rsidRPr="00E708A7">
            <w:rPr>
              <w:lang w:val="el-GR"/>
            </w:rPr>
            <w:t xml:space="preserve"> Ergasias</w:t>
          </w:r>
          <w:r w:rsidR="001047B8" w:rsidRPr="006F7F28">
            <w:ptab w:relativeTo="margin" w:alignment="right" w:leader="dot"/>
          </w:r>
          <w:r w:rsidR="001047B8" w:rsidRPr="00495C09">
            <w:rPr>
              <w:lang w:val="el-GR"/>
            </w:rPr>
            <w:t>3</w:t>
          </w:r>
          <w:r w:rsidR="00841908" w:rsidRPr="00841908">
            <w:rPr>
              <w:lang w:val="el-GR"/>
            </w:rPr>
            <w:t>0</w:t>
          </w:r>
        </w:p>
        <w:p w14:paraId="21BA5C13" w14:textId="64854E88" w:rsidR="001047B8" w:rsidRPr="00841908" w:rsidRDefault="00D576EB" w:rsidP="00D576EB">
          <w:pPr>
            <w:spacing w:after="120" w:line="240" w:lineRule="auto"/>
            <w:ind w:firstLine="0"/>
            <w:rPr>
              <w:lang w:val="el-GR"/>
            </w:rPr>
          </w:pPr>
          <w:r w:rsidRPr="00BE3001">
            <w:rPr>
              <w:b/>
              <w:bCs/>
              <w:lang w:val="el-GR"/>
            </w:rPr>
            <w:t>Σχήμα</w:t>
          </w:r>
          <w:r w:rsidR="001047B8" w:rsidRPr="00BE3001">
            <w:rPr>
              <w:b/>
              <w:bCs/>
              <w:lang w:val="el-GR"/>
            </w:rPr>
            <w:t xml:space="preserve"> 5β</w:t>
          </w:r>
          <w:r w:rsidR="00BE3001" w:rsidRPr="00BE3001">
            <w:rPr>
              <w:b/>
              <w:bCs/>
              <w:lang w:val="el-GR"/>
            </w:rPr>
            <w:t>.</w:t>
          </w:r>
          <w:r w:rsidR="001047B8" w:rsidRPr="00E708A7">
            <w:rPr>
              <w:lang w:val="el-GR"/>
            </w:rPr>
            <w:t xml:space="preserve"> Ποσοστιαίες Μεταβολές Καθαρών Κερδών/ Ζημίων – Τράπεζα </w:t>
          </w:r>
          <w:r w:rsidR="001047B8" w:rsidRPr="00E708A7">
            <w:rPr>
              <w:lang w:val="en-GB"/>
            </w:rPr>
            <w:t>Eurobank</w:t>
          </w:r>
          <w:r w:rsidR="001047B8" w:rsidRPr="00E708A7">
            <w:rPr>
              <w:lang w:val="el-GR"/>
            </w:rPr>
            <w:t xml:space="preserve"> Ergasias</w:t>
          </w:r>
          <w:r w:rsidR="001047B8" w:rsidRPr="006F7F28">
            <w:ptab w:relativeTo="margin" w:alignment="right" w:leader="dot"/>
          </w:r>
          <w:r w:rsidR="001047B8" w:rsidRPr="00495C09">
            <w:rPr>
              <w:lang w:val="el-GR"/>
            </w:rPr>
            <w:t>3</w:t>
          </w:r>
          <w:r w:rsidR="00841908" w:rsidRPr="00841908">
            <w:rPr>
              <w:lang w:val="el-GR"/>
            </w:rPr>
            <w:t>0</w:t>
          </w:r>
        </w:p>
        <w:p w14:paraId="056B09D7" w14:textId="70589677" w:rsidR="001047B8" w:rsidRPr="008D791C" w:rsidRDefault="00D576EB" w:rsidP="00D576EB">
          <w:pPr>
            <w:spacing w:after="120" w:line="240" w:lineRule="auto"/>
            <w:ind w:firstLine="0"/>
            <w:rPr>
              <w:lang w:val="el-GR"/>
            </w:rPr>
          </w:pPr>
          <w:r w:rsidRPr="00BE3001">
            <w:rPr>
              <w:b/>
              <w:bCs/>
              <w:lang w:val="el-GR"/>
            </w:rPr>
            <w:t>Σχήμα</w:t>
          </w:r>
          <w:r w:rsidR="001047B8" w:rsidRPr="00BE3001">
            <w:rPr>
              <w:b/>
              <w:bCs/>
              <w:lang w:val="el-GR"/>
            </w:rPr>
            <w:t xml:space="preserve"> 6α</w:t>
          </w:r>
          <w:r w:rsidR="00BE3001" w:rsidRPr="00BE3001">
            <w:rPr>
              <w:b/>
              <w:bCs/>
              <w:lang w:val="el-GR"/>
            </w:rPr>
            <w:t>.</w:t>
          </w:r>
          <w:r w:rsidR="001047B8" w:rsidRPr="00E708A7">
            <w:rPr>
              <w:lang w:val="el-GR"/>
            </w:rPr>
            <w:t xml:space="preserve"> Δείκτης ROA – Τράπεζα </w:t>
          </w:r>
          <w:r w:rsidR="001047B8" w:rsidRPr="00E708A7">
            <w:rPr>
              <w:lang w:val="en-GB"/>
            </w:rPr>
            <w:t>Eurobank</w:t>
          </w:r>
          <w:r w:rsidR="001047B8" w:rsidRPr="00E708A7">
            <w:rPr>
              <w:lang w:val="el-GR"/>
            </w:rPr>
            <w:t xml:space="preserve"> Ergasias</w:t>
          </w:r>
          <w:r w:rsidR="001047B8" w:rsidRPr="006F7F28">
            <w:ptab w:relativeTo="margin" w:alignment="right" w:leader="dot"/>
          </w:r>
          <w:r w:rsidR="001047B8" w:rsidRPr="00495C09">
            <w:rPr>
              <w:lang w:val="el-GR"/>
            </w:rPr>
            <w:t>3</w:t>
          </w:r>
          <w:r w:rsidR="00841908" w:rsidRPr="008D791C">
            <w:rPr>
              <w:lang w:val="el-GR"/>
            </w:rPr>
            <w:t>1</w:t>
          </w:r>
        </w:p>
        <w:p w14:paraId="766534C6" w14:textId="1015113F" w:rsidR="001047B8" w:rsidRPr="00841908" w:rsidRDefault="00D576EB" w:rsidP="00D576EB">
          <w:pPr>
            <w:spacing w:after="120" w:line="240" w:lineRule="auto"/>
            <w:ind w:firstLine="0"/>
            <w:rPr>
              <w:lang w:val="el-GR"/>
            </w:rPr>
          </w:pPr>
          <w:r w:rsidRPr="00BE3001">
            <w:rPr>
              <w:b/>
              <w:bCs/>
              <w:lang w:val="el-GR"/>
            </w:rPr>
            <w:t>Σχήμα</w:t>
          </w:r>
          <w:r w:rsidR="001047B8" w:rsidRPr="00BE3001">
            <w:rPr>
              <w:b/>
              <w:bCs/>
              <w:lang w:val="el-GR"/>
            </w:rPr>
            <w:t xml:space="preserve"> 6β</w:t>
          </w:r>
          <w:r w:rsidR="00BE3001" w:rsidRPr="00BE3001">
            <w:rPr>
              <w:b/>
              <w:bCs/>
              <w:lang w:val="el-GR"/>
            </w:rPr>
            <w:t>.</w:t>
          </w:r>
          <w:r w:rsidR="001047B8" w:rsidRPr="00E708A7">
            <w:rPr>
              <w:lang w:val="el-GR"/>
            </w:rPr>
            <w:t xml:space="preserve"> Ποσοστιαίες Μεταβολές Δείκτη ROA – Τράπεζα </w:t>
          </w:r>
          <w:r w:rsidR="001047B8" w:rsidRPr="00E708A7">
            <w:rPr>
              <w:lang w:val="en-GB"/>
            </w:rPr>
            <w:t>Eurobank</w:t>
          </w:r>
          <w:r w:rsidR="001047B8" w:rsidRPr="00E708A7">
            <w:rPr>
              <w:lang w:val="el-GR"/>
            </w:rPr>
            <w:t xml:space="preserve"> Ergasias</w:t>
          </w:r>
          <w:r w:rsidR="001047B8" w:rsidRPr="006F7F28">
            <w:ptab w:relativeTo="margin" w:alignment="right" w:leader="dot"/>
          </w:r>
          <w:r w:rsidR="001047B8" w:rsidRPr="00495C09">
            <w:rPr>
              <w:lang w:val="el-GR"/>
            </w:rPr>
            <w:t>3</w:t>
          </w:r>
          <w:r w:rsidR="00841908" w:rsidRPr="00841908">
            <w:rPr>
              <w:lang w:val="el-GR"/>
            </w:rPr>
            <w:t>2</w:t>
          </w:r>
        </w:p>
        <w:p w14:paraId="23A68E90" w14:textId="189DCE12" w:rsidR="001047B8" w:rsidRPr="008D791C" w:rsidRDefault="00D576EB" w:rsidP="00D576EB">
          <w:pPr>
            <w:spacing w:after="120" w:line="240" w:lineRule="auto"/>
            <w:ind w:firstLine="0"/>
            <w:rPr>
              <w:lang w:val="el-GR"/>
            </w:rPr>
          </w:pPr>
          <w:r w:rsidRPr="00BE3001">
            <w:rPr>
              <w:b/>
              <w:bCs/>
              <w:lang w:val="el-GR"/>
            </w:rPr>
            <w:t xml:space="preserve">Σχήμα </w:t>
          </w:r>
          <w:r w:rsidR="001047B8" w:rsidRPr="00BE3001">
            <w:rPr>
              <w:b/>
              <w:bCs/>
              <w:lang w:val="el-GR"/>
            </w:rPr>
            <w:t>7α</w:t>
          </w:r>
          <w:r w:rsidR="00BE3001" w:rsidRPr="00BE3001">
            <w:rPr>
              <w:b/>
              <w:bCs/>
              <w:lang w:val="el-GR"/>
            </w:rPr>
            <w:t>.</w:t>
          </w:r>
          <w:r w:rsidR="001047B8" w:rsidRPr="00E708A7">
            <w:rPr>
              <w:lang w:val="el-GR"/>
            </w:rPr>
            <w:t xml:space="preserve"> Δείκτης ROE – Τράπεζα </w:t>
          </w:r>
          <w:r w:rsidR="001047B8" w:rsidRPr="00E708A7">
            <w:rPr>
              <w:lang w:val="en-GB"/>
            </w:rPr>
            <w:t>Eurobank</w:t>
          </w:r>
          <w:r w:rsidR="001047B8" w:rsidRPr="00E708A7">
            <w:rPr>
              <w:lang w:val="el-GR"/>
            </w:rPr>
            <w:t xml:space="preserve"> Ergasias</w:t>
          </w:r>
          <w:r w:rsidR="001047B8" w:rsidRPr="006F7F28">
            <w:ptab w:relativeTo="margin" w:alignment="right" w:leader="dot"/>
          </w:r>
          <w:r w:rsidR="001047B8" w:rsidRPr="00495C09">
            <w:rPr>
              <w:lang w:val="el-GR"/>
            </w:rPr>
            <w:t>3</w:t>
          </w:r>
          <w:r w:rsidR="00841908" w:rsidRPr="008D791C">
            <w:rPr>
              <w:lang w:val="el-GR"/>
            </w:rPr>
            <w:t>3</w:t>
          </w:r>
        </w:p>
        <w:p w14:paraId="47B7DCE4" w14:textId="439A6B06" w:rsidR="001047B8" w:rsidRPr="00841908" w:rsidRDefault="00D576EB" w:rsidP="00D576EB">
          <w:pPr>
            <w:spacing w:after="120" w:line="240" w:lineRule="auto"/>
            <w:ind w:firstLine="0"/>
            <w:rPr>
              <w:lang w:val="el-GR"/>
            </w:rPr>
          </w:pPr>
          <w:r w:rsidRPr="00BE3001">
            <w:rPr>
              <w:b/>
              <w:bCs/>
              <w:lang w:val="el-GR"/>
            </w:rPr>
            <w:t>Σχήμα</w:t>
          </w:r>
          <w:r w:rsidR="001047B8" w:rsidRPr="00BE3001">
            <w:rPr>
              <w:b/>
              <w:bCs/>
              <w:lang w:val="el-GR"/>
            </w:rPr>
            <w:t xml:space="preserve"> 7β</w:t>
          </w:r>
          <w:r w:rsidR="00BE3001" w:rsidRPr="00BE3001">
            <w:rPr>
              <w:b/>
              <w:bCs/>
              <w:lang w:val="el-GR"/>
            </w:rPr>
            <w:t>.</w:t>
          </w:r>
          <w:r w:rsidR="001047B8" w:rsidRPr="00E708A7">
            <w:rPr>
              <w:lang w:val="el-GR"/>
            </w:rPr>
            <w:t xml:space="preserve"> Ποσοστιαίες Μεταβολές Δείκτη ROE – Τράπεζα </w:t>
          </w:r>
          <w:r w:rsidR="001047B8" w:rsidRPr="00E708A7">
            <w:rPr>
              <w:lang w:val="en-GB"/>
            </w:rPr>
            <w:t>Eurobank</w:t>
          </w:r>
          <w:r w:rsidR="001047B8" w:rsidRPr="00E708A7">
            <w:rPr>
              <w:lang w:val="el-GR"/>
            </w:rPr>
            <w:t xml:space="preserve"> Ergasias</w:t>
          </w:r>
          <w:r w:rsidR="001047B8" w:rsidRPr="006F7F28">
            <w:ptab w:relativeTo="margin" w:alignment="right" w:leader="dot"/>
          </w:r>
          <w:r w:rsidR="001047B8" w:rsidRPr="00495C09">
            <w:rPr>
              <w:lang w:val="el-GR"/>
            </w:rPr>
            <w:t>3</w:t>
          </w:r>
          <w:r w:rsidR="00841908" w:rsidRPr="00841908">
            <w:rPr>
              <w:lang w:val="el-GR"/>
            </w:rPr>
            <w:t>3</w:t>
          </w:r>
        </w:p>
        <w:p w14:paraId="73A1E19B" w14:textId="005734B0" w:rsidR="001047B8" w:rsidRPr="00841908" w:rsidRDefault="00D576EB" w:rsidP="00D576EB">
          <w:pPr>
            <w:spacing w:after="120" w:line="240" w:lineRule="auto"/>
            <w:ind w:firstLine="0"/>
            <w:rPr>
              <w:lang w:val="el-GR"/>
            </w:rPr>
          </w:pPr>
          <w:r w:rsidRPr="00BE3001">
            <w:rPr>
              <w:b/>
              <w:bCs/>
              <w:lang w:val="el-GR"/>
            </w:rPr>
            <w:t>Σχήμα</w:t>
          </w:r>
          <w:r w:rsidR="001047B8" w:rsidRPr="00BE3001">
            <w:rPr>
              <w:b/>
              <w:bCs/>
              <w:lang w:val="el-GR"/>
            </w:rPr>
            <w:t xml:space="preserve"> 8</w:t>
          </w:r>
          <w:r w:rsidR="00BE3001" w:rsidRPr="00BE3001">
            <w:rPr>
              <w:b/>
              <w:bCs/>
              <w:lang w:val="el-GR"/>
            </w:rPr>
            <w:t>.</w:t>
          </w:r>
          <w:r w:rsidR="001047B8" w:rsidRPr="00E708A7">
            <w:rPr>
              <w:lang w:val="el-GR"/>
            </w:rPr>
            <w:t xml:space="preserve"> Τιμή Μετοχής (2005 έως 2020) – Τράπεζα </w:t>
          </w:r>
          <w:r w:rsidR="001047B8" w:rsidRPr="00E708A7">
            <w:rPr>
              <w:lang w:val="en-GB"/>
            </w:rPr>
            <w:t>Eurobank</w:t>
          </w:r>
          <w:r w:rsidR="001047B8" w:rsidRPr="00E708A7">
            <w:rPr>
              <w:lang w:val="el-GR"/>
            </w:rPr>
            <w:t xml:space="preserve"> Ergasias</w:t>
          </w:r>
          <w:r w:rsidR="001047B8" w:rsidRPr="006F7F28">
            <w:ptab w:relativeTo="margin" w:alignment="right" w:leader="dot"/>
          </w:r>
          <w:r w:rsidR="00841908" w:rsidRPr="00841908">
            <w:rPr>
              <w:lang w:val="el-GR"/>
            </w:rPr>
            <w:t>34</w:t>
          </w:r>
        </w:p>
        <w:p w14:paraId="2458DBCA" w14:textId="6F64302B" w:rsidR="001047B8" w:rsidRPr="00841908" w:rsidRDefault="00D576EB" w:rsidP="00D576EB">
          <w:pPr>
            <w:spacing w:after="120" w:line="240" w:lineRule="auto"/>
            <w:ind w:firstLine="0"/>
            <w:rPr>
              <w:lang w:val="el-GR"/>
            </w:rPr>
          </w:pPr>
          <w:r w:rsidRPr="00BE3001">
            <w:rPr>
              <w:b/>
              <w:bCs/>
              <w:lang w:val="el-GR"/>
            </w:rPr>
            <w:t>Σχήμα</w:t>
          </w:r>
          <w:r w:rsidR="001047B8" w:rsidRPr="00BE3001">
            <w:rPr>
              <w:b/>
              <w:bCs/>
              <w:lang w:val="el-GR"/>
            </w:rPr>
            <w:t xml:space="preserve"> 9α</w:t>
          </w:r>
          <w:r w:rsidR="00BE3001" w:rsidRPr="00BE3001">
            <w:rPr>
              <w:b/>
              <w:bCs/>
              <w:lang w:val="el-GR"/>
            </w:rPr>
            <w:t>.</w:t>
          </w:r>
          <w:r w:rsidR="001047B8" w:rsidRPr="00E708A7">
            <w:rPr>
              <w:lang w:val="el-GR"/>
            </w:rPr>
            <w:t xml:space="preserve"> Καθαρά Κέρδη/ Ζημίες – Τράπεζα Πειραιώς</w:t>
          </w:r>
          <w:r w:rsidR="001047B8" w:rsidRPr="006F7F28">
            <w:ptab w:relativeTo="margin" w:alignment="right" w:leader="dot"/>
          </w:r>
          <w:r w:rsidR="00841908" w:rsidRPr="00841908">
            <w:rPr>
              <w:lang w:val="el-GR"/>
            </w:rPr>
            <w:t>35</w:t>
          </w:r>
        </w:p>
        <w:p w14:paraId="7FF49E2F" w14:textId="6D85256B" w:rsidR="001047B8" w:rsidRPr="00841908" w:rsidRDefault="00D576EB" w:rsidP="00D576EB">
          <w:pPr>
            <w:spacing w:after="120" w:line="240" w:lineRule="auto"/>
            <w:ind w:firstLine="0"/>
            <w:rPr>
              <w:lang w:val="el-GR"/>
            </w:rPr>
          </w:pPr>
          <w:r w:rsidRPr="00D576EB">
            <w:rPr>
              <w:b/>
              <w:bCs/>
              <w:lang w:val="el-GR"/>
            </w:rPr>
            <w:t>Σχήμα</w:t>
          </w:r>
          <w:r w:rsidR="001047B8" w:rsidRPr="00D576EB">
            <w:rPr>
              <w:b/>
              <w:bCs/>
              <w:lang w:val="el-GR"/>
            </w:rPr>
            <w:t xml:space="preserve"> 9β</w:t>
          </w:r>
          <w:r w:rsidRPr="00D576EB">
            <w:rPr>
              <w:b/>
              <w:bCs/>
              <w:lang w:val="el-GR"/>
            </w:rPr>
            <w:t>.</w:t>
          </w:r>
          <w:r w:rsidR="001047B8" w:rsidRPr="00E708A7">
            <w:rPr>
              <w:lang w:val="el-GR"/>
            </w:rPr>
            <w:t xml:space="preserve"> Ποσοστιαίες Μεταβολές Καθαρών Κερδών/ Ζημίων – Τράπεζα Πειραιώς</w:t>
          </w:r>
          <w:r w:rsidR="001047B8" w:rsidRPr="006F7F28">
            <w:ptab w:relativeTo="margin" w:alignment="right" w:leader="dot"/>
          </w:r>
          <w:r w:rsidR="00841908" w:rsidRPr="00841908">
            <w:rPr>
              <w:lang w:val="el-GR"/>
            </w:rPr>
            <w:t>36</w:t>
          </w:r>
        </w:p>
        <w:p w14:paraId="66656E0D" w14:textId="2026BE04" w:rsidR="001047B8" w:rsidRPr="008D791C" w:rsidRDefault="00D576EB" w:rsidP="00D576EB">
          <w:pPr>
            <w:spacing w:after="120" w:line="240" w:lineRule="auto"/>
            <w:ind w:firstLine="0"/>
            <w:rPr>
              <w:lang w:val="el-GR"/>
            </w:rPr>
          </w:pPr>
          <w:r w:rsidRPr="00D576EB">
            <w:rPr>
              <w:b/>
              <w:bCs/>
              <w:lang w:val="el-GR"/>
            </w:rPr>
            <w:t>Σχήμα</w:t>
          </w:r>
          <w:r w:rsidR="001047B8" w:rsidRPr="00D576EB">
            <w:rPr>
              <w:b/>
              <w:bCs/>
              <w:lang w:val="el-GR"/>
            </w:rPr>
            <w:t xml:space="preserve"> 10α</w:t>
          </w:r>
          <w:r w:rsidRPr="00D576EB">
            <w:rPr>
              <w:b/>
              <w:bCs/>
              <w:lang w:val="el-GR"/>
            </w:rPr>
            <w:t>.</w:t>
          </w:r>
          <w:r w:rsidR="001047B8" w:rsidRPr="00E708A7">
            <w:rPr>
              <w:lang w:val="el-GR"/>
            </w:rPr>
            <w:t xml:space="preserve"> Δείκτης ROA – Τράπεζα Πειραιώς</w:t>
          </w:r>
          <w:r w:rsidR="001047B8" w:rsidRPr="006F7F28">
            <w:ptab w:relativeTo="margin" w:alignment="right" w:leader="dot"/>
          </w:r>
          <w:r w:rsidR="00841908" w:rsidRPr="008D791C">
            <w:rPr>
              <w:lang w:val="el-GR"/>
            </w:rPr>
            <w:t>37</w:t>
          </w:r>
        </w:p>
        <w:p w14:paraId="5C3BE806" w14:textId="3C322A28" w:rsidR="001047B8" w:rsidRPr="00841908" w:rsidRDefault="00D576EB" w:rsidP="00D576EB">
          <w:pPr>
            <w:spacing w:after="120" w:line="240" w:lineRule="auto"/>
            <w:ind w:firstLine="0"/>
            <w:rPr>
              <w:lang w:val="el-GR"/>
            </w:rPr>
          </w:pPr>
          <w:r w:rsidRPr="00D576EB">
            <w:rPr>
              <w:b/>
              <w:bCs/>
              <w:lang w:val="el-GR"/>
            </w:rPr>
            <w:t>Σχήμα</w:t>
          </w:r>
          <w:r w:rsidR="001047B8" w:rsidRPr="00D576EB">
            <w:rPr>
              <w:b/>
              <w:bCs/>
              <w:lang w:val="el-GR"/>
            </w:rPr>
            <w:t xml:space="preserve"> 10β</w:t>
          </w:r>
          <w:r w:rsidRPr="00D576EB">
            <w:rPr>
              <w:b/>
              <w:bCs/>
              <w:lang w:val="el-GR"/>
            </w:rPr>
            <w:t>.</w:t>
          </w:r>
          <w:r w:rsidR="001047B8" w:rsidRPr="00E708A7">
            <w:rPr>
              <w:lang w:val="el-GR"/>
            </w:rPr>
            <w:t xml:space="preserve"> Ποσοστιαίες Μεταβολές Δείκτη ROA – Τράπεζα Πειραιώς</w:t>
          </w:r>
          <w:r w:rsidR="001047B8" w:rsidRPr="006F7F28">
            <w:ptab w:relativeTo="margin" w:alignment="right" w:leader="dot"/>
          </w:r>
          <w:r w:rsidR="00841908" w:rsidRPr="00841908">
            <w:rPr>
              <w:lang w:val="el-GR"/>
            </w:rPr>
            <w:t>37</w:t>
          </w:r>
        </w:p>
        <w:p w14:paraId="01411F53" w14:textId="6690AB85" w:rsidR="001047B8" w:rsidRPr="008D791C" w:rsidRDefault="00D576EB" w:rsidP="00D576EB">
          <w:pPr>
            <w:spacing w:after="120" w:line="240" w:lineRule="auto"/>
            <w:ind w:firstLine="0"/>
            <w:rPr>
              <w:lang w:val="el-GR"/>
            </w:rPr>
          </w:pPr>
          <w:r w:rsidRPr="00D576EB">
            <w:rPr>
              <w:b/>
              <w:bCs/>
              <w:lang w:val="el-GR"/>
            </w:rPr>
            <w:t>Σχήμα</w:t>
          </w:r>
          <w:r w:rsidR="001047B8" w:rsidRPr="00BE3001">
            <w:rPr>
              <w:b/>
              <w:bCs/>
              <w:lang w:val="el-GR"/>
            </w:rPr>
            <w:t xml:space="preserve"> 11α</w:t>
          </w:r>
          <w:r w:rsidR="00BE3001" w:rsidRPr="00BE3001">
            <w:rPr>
              <w:b/>
              <w:bCs/>
              <w:lang w:val="el-GR"/>
            </w:rPr>
            <w:t>.</w:t>
          </w:r>
          <w:r w:rsidR="001047B8" w:rsidRPr="00E708A7">
            <w:rPr>
              <w:lang w:val="el-GR"/>
            </w:rPr>
            <w:t xml:space="preserve"> Δείκτης ROE – Τράπεζα Πειραιώς</w:t>
          </w:r>
          <w:r w:rsidR="001047B8" w:rsidRPr="006F7F28">
            <w:ptab w:relativeTo="margin" w:alignment="right" w:leader="dot"/>
          </w:r>
          <w:r w:rsidR="00841908" w:rsidRPr="008D791C">
            <w:rPr>
              <w:lang w:val="el-GR"/>
            </w:rPr>
            <w:t>38</w:t>
          </w:r>
        </w:p>
        <w:p w14:paraId="3A5B7145" w14:textId="610018FF" w:rsidR="001047B8" w:rsidRPr="00841908" w:rsidRDefault="00D576EB" w:rsidP="00D576EB">
          <w:pPr>
            <w:spacing w:after="120" w:line="240" w:lineRule="auto"/>
            <w:ind w:firstLine="0"/>
            <w:rPr>
              <w:lang w:val="el-GR"/>
            </w:rPr>
          </w:pPr>
          <w:r w:rsidRPr="00D576EB">
            <w:rPr>
              <w:b/>
              <w:bCs/>
              <w:lang w:val="el-GR"/>
            </w:rPr>
            <w:t>Σχήμα</w:t>
          </w:r>
          <w:r w:rsidR="001047B8" w:rsidRPr="00D576EB">
            <w:rPr>
              <w:b/>
              <w:bCs/>
              <w:lang w:val="el-GR"/>
            </w:rPr>
            <w:t xml:space="preserve"> 11β</w:t>
          </w:r>
          <w:r w:rsidRPr="00D576EB">
            <w:rPr>
              <w:b/>
              <w:bCs/>
              <w:lang w:val="el-GR"/>
            </w:rPr>
            <w:t>.</w:t>
          </w:r>
          <w:r w:rsidR="001047B8" w:rsidRPr="00E708A7">
            <w:rPr>
              <w:lang w:val="el-GR"/>
            </w:rPr>
            <w:t xml:space="preserve"> Ποσοστιαίες Μεταβολές Δείκτη ROE – Τράπεζα Πειραιώς</w:t>
          </w:r>
          <w:r w:rsidR="001047B8" w:rsidRPr="006F7F28">
            <w:ptab w:relativeTo="margin" w:alignment="right" w:leader="dot"/>
          </w:r>
          <w:r w:rsidR="00841908" w:rsidRPr="00841908">
            <w:rPr>
              <w:lang w:val="el-GR"/>
            </w:rPr>
            <w:t>39</w:t>
          </w:r>
        </w:p>
        <w:p w14:paraId="61152DCC" w14:textId="3796D6CC" w:rsidR="001047B8" w:rsidRPr="008D791C" w:rsidRDefault="00D576EB" w:rsidP="00D576EB">
          <w:pPr>
            <w:spacing w:after="120" w:line="240" w:lineRule="auto"/>
            <w:ind w:firstLine="0"/>
            <w:rPr>
              <w:lang w:val="el-GR"/>
            </w:rPr>
          </w:pPr>
          <w:r w:rsidRPr="00D576EB">
            <w:rPr>
              <w:b/>
              <w:bCs/>
              <w:lang w:val="el-GR"/>
            </w:rPr>
            <w:t>Σχήμα</w:t>
          </w:r>
          <w:r w:rsidR="001047B8" w:rsidRPr="00D576EB">
            <w:rPr>
              <w:b/>
              <w:bCs/>
              <w:lang w:val="el-GR"/>
            </w:rPr>
            <w:t xml:space="preserve"> 12</w:t>
          </w:r>
          <w:r w:rsidRPr="00D576EB">
            <w:rPr>
              <w:b/>
              <w:bCs/>
              <w:lang w:val="el-GR"/>
            </w:rPr>
            <w:t>.</w:t>
          </w:r>
          <w:r w:rsidR="001047B8" w:rsidRPr="00E708A7">
            <w:rPr>
              <w:lang w:val="el-GR"/>
            </w:rPr>
            <w:t xml:space="preserve"> Τιμή Μετοχής (2005 έως 2020) – Τράπεζα Πειραιώς</w:t>
          </w:r>
          <w:r w:rsidR="001047B8" w:rsidRPr="006F7F28">
            <w:ptab w:relativeTo="margin" w:alignment="right" w:leader="dot"/>
          </w:r>
          <w:r w:rsidR="001047B8" w:rsidRPr="00070949">
            <w:rPr>
              <w:lang w:val="el-GR"/>
            </w:rPr>
            <w:t>4</w:t>
          </w:r>
          <w:r w:rsidR="00841908" w:rsidRPr="008D791C">
            <w:rPr>
              <w:lang w:val="el-GR"/>
            </w:rPr>
            <w:t>0</w:t>
          </w:r>
        </w:p>
        <w:p w14:paraId="048AC63A" w14:textId="329570B4" w:rsidR="001047B8" w:rsidRPr="008D791C" w:rsidRDefault="00D576EB" w:rsidP="00D576EB">
          <w:pPr>
            <w:spacing w:after="120" w:line="240" w:lineRule="auto"/>
            <w:ind w:firstLine="0"/>
            <w:rPr>
              <w:lang w:val="el-GR"/>
            </w:rPr>
          </w:pPr>
          <w:r w:rsidRPr="00BE3001">
            <w:rPr>
              <w:b/>
              <w:bCs/>
              <w:lang w:val="el-GR"/>
            </w:rPr>
            <w:t xml:space="preserve">Σχήμα </w:t>
          </w:r>
          <w:r w:rsidR="001047B8" w:rsidRPr="00BE3001">
            <w:rPr>
              <w:b/>
              <w:bCs/>
              <w:lang w:val="el-GR"/>
            </w:rPr>
            <w:t>13α</w:t>
          </w:r>
          <w:r w:rsidR="00BE3001" w:rsidRPr="00BE3001">
            <w:rPr>
              <w:b/>
              <w:bCs/>
              <w:lang w:val="el-GR"/>
            </w:rPr>
            <w:t>.</w:t>
          </w:r>
          <w:r w:rsidR="001047B8" w:rsidRPr="00E708A7">
            <w:rPr>
              <w:lang w:val="el-GR"/>
            </w:rPr>
            <w:t xml:space="preserve"> Καθαρά Κέρδη/ Ζημίες – Alpha Bank</w:t>
          </w:r>
          <w:r w:rsidR="001047B8" w:rsidRPr="006F7F28">
            <w:ptab w:relativeTo="margin" w:alignment="right" w:leader="dot"/>
          </w:r>
          <w:r w:rsidR="001047B8" w:rsidRPr="00070949">
            <w:rPr>
              <w:lang w:val="el-GR"/>
            </w:rPr>
            <w:t>4</w:t>
          </w:r>
          <w:r w:rsidR="00841908" w:rsidRPr="008D791C">
            <w:rPr>
              <w:lang w:val="el-GR"/>
            </w:rPr>
            <w:t>1</w:t>
          </w:r>
        </w:p>
        <w:p w14:paraId="5AE34DC0" w14:textId="79F8E1BA" w:rsidR="001047B8" w:rsidRPr="00841908" w:rsidRDefault="00D576EB" w:rsidP="00D576EB">
          <w:pPr>
            <w:spacing w:after="120" w:line="240" w:lineRule="auto"/>
            <w:ind w:firstLine="0"/>
            <w:rPr>
              <w:lang w:val="el-GR"/>
            </w:rPr>
          </w:pPr>
          <w:r w:rsidRPr="00D576EB">
            <w:rPr>
              <w:b/>
              <w:bCs/>
              <w:lang w:val="el-GR"/>
            </w:rPr>
            <w:t xml:space="preserve">Σχήμα </w:t>
          </w:r>
          <w:r w:rsidR="001047B8" w:rsidRPr="00D576EB">
            <w:rPr>
              <w:b/>
              <w:bCs/>
              <w:lang w:val="el-GR"/>
            </w:rPr>
            <w:t>13β</w:t>
          </w:r>
          <w:r w:rsidRPr="00D576EB">
            <w:rPr>
              <w:b/>
              <w:bCs/>
              <w:lang w:val="el-GR"/>
            </w:rPr>
            <w:t>.</w:t>
          </w:r>
          <w:r w:rsidR="001047B8" w:rsidRPr="00E708A7">
            <w:rPr>
              <w:lang w:val="el-GR"/>
            </w:rPr>
            <w:t xml:space="preserve"> Ποσοστιαίες Μεταβολές Καθαρών Κερδών/ Ζημίων – Alpha Bank</w:t>
          </w:r>
          <w:r w:rsidR="001047B8" w:rsidRPr="006F7F28">
            <w:ptab w:relativeTo="margin" w:alignment="right" w:leader="dot"/>
          </w:r>
          <w:r w:rsidR="001047B8" w:rsidRPr="00070949">
            <w:rPr>
              <w:lang w:val="el-GR"/>
            </w:rPr>
            <w:t>4</w:t>
          </w:r>
          <w:r w:rsidR="00841908" w:rsidRPr="00841908">
            <w:rPr>
              <w:lang w:val="el-GR"/>
            </w:rPr>
            <w:t>1</w:t>
          </w:r>
        </w:p>
        <w:p w14:paraId="5D2A9ECE" w14:textId="6B2A6F1B" w:rsidR="001047B8" w:rsidRPr="008D791C" w:rsidRDefault="00D576EB" w:rsidP="00D576EB">
          <w:pPr>
            <w:spacing w:after="120" w:line="240" w:lineRule="auto"/>
            <w:ind w:firstLine="0"/>
            <w:rPr>
              <w:lang w:val="el-GR"/>
            </w:rPr>
          </w:pPr>
          <w:r w:rsidRPr="00BE3001">
            <w:rPr>
              <w:b/>
              <w:bCs/>
              <w:lang w:val="el-GR"/>
            </w:rPr>
            <w:t xml:space="preserve">Σχήμα </w:t>
          </w:r>
          <w:r w:rsidR="001047B8" w:rsidRPr="00BE3001">
            <w:rPr>
              <w:b/>
              <w:bCs/>
              <w:lang w:val="el-GR"/>
            </w:rPr>
            <w:t>14α</w:t>
          </w:r>
          <w:r w:rsidR="00BE3001" w:rsidRPr="00BE3001">
            <w:rPr>
              <w:b/>
              <w:bCs/>
              <w:lang w:val="el-GR"/>
            </w:rPr>
            <w:t>.</w:t>
          </w:r>
          <w:r w:rsidR="001047B8" w:rsidRPr="00E708A7">
            <w:rPr>
              <w:lang w:val="el-GR"/>
            </w:rPr>
            <w:t xml:space="preserve"> Δείκτης ROA – Alpha Bank</w:t>
          </w:r>
          <w:r w:rsidR="001047B8" w:rsidRPr="006F7F28">
            <w:ptab w:relativeTo="margin" w:alignment="right" w:leader="dot"/>
          </w:r>
          <w:r w:rsidR="001047B8" w:rsidRPr="00070949">
            <w:rPr>
              <w:lang w:val="el-GR"/>
            </w:rPr>
            <w:t>4</w:t>
          </w:r>
          <w:r w:rsidR="00841908" w:rsidRPr="008D791C">
            <w:rPr>
              <w:lang w:val="el-GR"/>
            </w:rPr>
            <w:t>2</w:t>
          </w:r>
        </w:p>
        <w:p w14:paraId="471B3FCB" w14:textId="3F763CD8" w:rsidR="001047B8" w:rsidRPr="00841908" w:rsidRDefault="00D576EB" w:rsidP="00D576EB">
          <w:pPr>
            <w:spacing w:after="120" w:line="240" w:lineRule="auto"/>
            <w:ind w:firstLine="0"/>
            <w:rPr>
              <w:lang w:val="el-GR"/>
            </w:rPr>
          </w:pPr>
          <w:r w:rsidRPr="00D576EB">
            <w:rPr>
              <w:b/>
              <w:bCs/>
              <w:lang w:val="el-GR"/>
            </w:rPr>
            <w:t xml:space="preserve">Σχήμα </w:t>
          </w:r>
          <w:r w:rsidR="001047B8" w:rsidRPr="00D576EB">
            <w:rPr>
              <w:b/>
              <w:bCs/>
              <w:lang w:val="el-GR"/>
            </w:rPr>
            <w:t>14β</w:t>
          </w:r>
          <w:r w:rsidRPr="00D576EB">
            <w:rPr>
              <w:b/>
              <w:bCs/>
              <w:lang w:val="el-GR"/>
            </w:rPr>
            <w:t>.</w:t>
          </w:r>
          <w:r w:rsidR="001047B8" w:rsidRPr="00E708A7">
            <w:rPr>
              <w:lang w:val="el-GR"/>
            </w:rPr>
            <w:t xml:space="preserve"> Ποσοστιαίες Μεταβολές Δείκτη ROA – Alpha Bank</w:t>
          </w:r>
          <w:r w:rsidR="001047B8" w:rsidRPr="006F7F28">
            <w:ptab w:relativeTo="margin" w:alignment="right" w:leader="dot"/>
          </w:r>
          <w:r w:rsidR="001047B8" w:rsidRPr="00070949">
            <w:rPr>
              <w:lang w:val="el-GR"/>
            </w:rPr>
            <w:t>4</w:t>
          </w:r>
          <w:r w:rsidR="00841908" w:rsidRPr="00841908">
            <w:rPr>
              <w:lang w:val="el-GR"/>
            </w:rPr>
            <w:t>2</w:t>
          </w:r>
        </w:p>
        <w:p w14:paraId="7B6B2B5B" w14:textId="10145D9C" w:rsidR="001047B8" w:rsidRPr="008D791C" w:rsidRDefault="00D576EB" w:rsidP="00D576EB">
          <w:pPr>
            <w:spacing w:after="120" w:line="240" w:lineRule="auto"/>
            <w:ind w:firstLine="0"/>
            <w:rPr>
              <w:lang w:val="el-GR"/>
            </w:rPr>
          </w:pPr>
          <w:r w:rsidRPr="00D576EB">
            <w:rPr>
              <w:b/>
              <w:bCs/>
              <w:lang w:val="el-GR"/>
            </w:rPr>
            <w:t>Σχήμα</w:t>
          </w:r>
          <w:r w:rsidR="001047B8" w:rsidRPr="00E708A7">
            <w:rPr>
              <w:lang w:val="el-GR"/>
            </w:rPr>
            <w:t xml:space="preserve"> </w:t>
          </w:r>
          <w:r w:rsidR="001047B8" w:rsidRPr="00BE3001">
            <w:rPr>
              <w:b/>
              <w:bCs/>
              <w:lang w:val="el-GR"/>
            </w:rPr>
            <w:t>15α</w:t>
          </w:r>
          <w:r w:rsidR="00BE3001" w:rsidRPr="00BE3001">
            <w:rPr>
              <w:b/>
              <w:bCs/>
              <w:lang w:val="el-GR"/>
            </w:rPr>
            <w:t>.</w:t>
          </w:r>
          <w:r w:rsidR="001047B8" w:rsidRPr="00E708A7">
            <w:rPr>
              <w:lang w:val="el-GR"/>
            </w:rPr>
            <w:t xml:space="preserve"> Δείκτης ROE – Alpha Bank</w:t>
          </w:r>
          <w:r w:rsidR="001047B8" w:rsidRPr="006F7F28">
            <w:ptab w:relativeTo="margin" w:alignment="right" w:leader="dot"/>
          </w:r>
          <w:r w:rsidR="001047B8" w:rsidRPr="00070949">
            <w:rPr>
              <w:lang w:val="el-GR"/>
            </w:rPr>
            <w:t>4</w:t>
          </w:r>
          <w:r w:rsidR="00841908" w:rsidRPr="008D791C">
            <w:rPr>
              <w:lang w:val="el-GR"/>
            </w:rPr>
            <w:t>3</w:t>
          </w:r>
        </w:p>
        <w:p w14:paraId="596B2F61" w14:textId="61388508" w:rsidR="001047B8" w:rsidRPr="00841908" w:rsidRDefault="00D576EB" w:rsidP="00D576EB">
          <w:pPr>
            <w:spacing w:after="120" w:line="240" w:lineRule="auto"/>
            <w:ind w:firstLine="0"/>
            <w:rPr>
              <w:lang w:val="el-GR"/>
            </w:rPr>
          </w:pPr>
          <w:r w:rsidRPr="00D576EB">
            <w:rPr>
              <w:b/>
              <w:bCs/>
              <w:lang w:val="el-GR"/>
            </w:rPr>
            <w:t xml:space="preserve">Σχήμα </w:t>
          </w:r>
          <w:r w:rsidR="001047B8" w:rsidRPr="00D576EB">
            <w:rPr>
              <w:b/>
              <w:bCs/>
              <w:lang w:val="el-GR"/>
            </w:rPr>
            <w:t>15β</w:t>
          </w:r>
          <w:r w:rsidRPr="00D576EB">
            <w:rPr>
              <w:b/>
              <w:bCs/>
              <w:lang w:val="el-GR"/>
            </w:rPr>
            <w:t>.</w:t>
          </w:r>
          <w:r w:rsidR="001047B8" w:rsidRPr="00E708A7">
            <w:rPr>
              <w:lang w:val="el-GR"/>
            </w:rPr>
            <w:t xml:space="preserve"> Ποσοστιαίες Μεταβολές Δείκτη ROE – Alpha Bank</w:t>
          </w:r>
          <w:r w:rsidR="001047B8" w:rsidRPr="006F7F28">
            <w:ptab w:relativeTo="margin" w:alignment="right" w:leader="dot"/>
          </w:r>
          <w:r w:rsidR="001047B8" w:rsidRPr="00070949">
            <w:rPr>
              <w:lang w:val="el-GR"/>
            </w:rPr>
            <w:t>4</w:t>
          </w:r>
          <w:r w:rsidR="00841908" w:rsidRPr="00841908">
            <w:rPr>
              <w:lang w:val="el-GR"/>
            </w:rPr>
            <w:t>4</w:t>
          </w:r>
        </w:p>
        <w:p w14:paraId="000576AE" w14:textId="3DDD71D1" w:rsidR="001047B8" w:rsidRPr="00B00811" w:rsidRDefault="00D576EB" w:rsidP="00D576EB">
          <w:pPr>
            <w:spacing w:after="120" w:line="240" w:lineRule="auto"/>
            <w:ind w:firstLine="0"/>
            <w:rPr>
              <w:lang w:val="el-GR"/>
            </w:rPr>
          </w:pPr>
          <w:r w:rsidRPr="00D576EB">
            <w:rPr>
              <w:b/>
              <w:bCs/>
              <w:lang w:val="el-GR"/>
            </w:rPr>
            <w:t xml:space="preserve">Σχήμα </w:t>
          </w:r>
          <w:r w:rsidR="001047B8" w:rsidRPr="00D576EB">
            <w:rPr>
              <w:b/>
              <w:bCs/>
              <w:lang w:val="el-GR"/>
            </w:rPr>
            <w:t>16</w:t>
          </w:r>
          <w:r w:rsidRPr="00D576EB">
            <w:rPr>
              <w:b/>
              <w:bCs/>
              <w:lang w:val="el-GR"/>
            </w:rPr>
            <w:t>.</w:t>
          </w:r>
          <w:r w:rsidR="001047B8" w:rsidRPr="00E708A7">
            <w:rPr>
              <w:lang w:val="el-GR"/>
            </w:rPr>
            <w:t xml:space="preserve"> Τιμή Μετοχής (2005 έως 2020) – Alpha Bank</w:t>
          </w:r>
          <w:r w:rsidR="001047B8" w:rsidRPr="006F7F28">
            <w:ptab w:relativeTo="margin" w:alignment="right" w:leader="dot"/>
          </w:r>
          <w:r w:rsidR="00B00811" w:rsidRPr="00B00811">
            <w:rPr>
              <w:lang w:val="el-GR"/>
            </w:rPr>
            <w:t>45</w:t>
          </w:r>
        </w:p>
        <w:p w14:paraId="6CA6ADE7" w14:textId="77777777" w:rsidR="001047B8" w:rsidRPr="002B0F10" w:rsidRDefault="001047B8" w:rsidP="00D848EE">
          <w:pPr>
            <w:spacing w:after="120" w:line="240" w:lineRule="auto"/>
            <w:rPr>
              <w:lang w:val="el-GR"/>
            </w:rPr>
          </w:pPr>
        </w:p>
        <w:p w14:paraId="516A55B4" w14:textId="77777777" w:rsidR="001047B8" w:rsidRPr="002B0F10" w:rsidRDefault="001047B8" w:rsidP="00D848EE">
          <w:pPr>
            <w:spacing w:after="120" w:line="240" w:lineRule="auto"/>
            <w:rPr>
              <w:lang w:val="el-GR"/>
            </w:rPr>
          </w:pPr>
        </w:p>
        <w:p w14:paraId="3AE6440E" w14:textId="77777777" w:rsidR="001047B8" w:rsidRPr="007A0E96" w:rsidRDefault="001047B8" w:rsidP="00D848EE">
          <w:pPr>
            <w:spacing w:after="120" w:line="240" w:lineRule="auto"/>
            <w:rPr>
              <w:lang w:val="el-GR"/>
            </w:rPr>
          </w:pPr>
        </w:p>
        <w:p w14:paraId="3E7D99A7" w14:textId="7D6CB39A" w:rsidR="00435414" w:rsidRPr="00D576EB" w:rsidRDefault="00435414" w:rsidP="00435414">
          <w:pPr>
            <w:spacing w:before="200" w:after="200"/>
            <w:ind w:firstLine="0"/>
            <w:jc w:val="center"/>
            <w:rPr>
              <w:b/>
              <w:bCs/>
              <w:sz w:val="28"/>
              <w:szCs w:val="28"/>
              <w:lang w:val="el-GR"/>
            </w:rPr>
          </w:pPr>
          <w:r>
            <w:rPr>
              <w:b/>
              <w:bCs/>
              <w:sz w:val="28"/>
              <w:szCs w:val="28"/>
              <w:lang w:val="el-GR"/>
            </w:rPr>
            <w:t>ΚΑΤΑΛΟΓΟΣ ΠΙΝΑΚΩΝ</w:t>
          </w:r>
        </w:p>
        <w:p w14:paraId="747D6D8D" w14:textId="746D98BB" w:rsidR="001047B8" w:rsidRPr="008D791C" w:rsidRDefault="001047B8" w:rsidP="00435414">
          <w:pPr>
            <w:spacing w:after="120" w:line="240" w:lineRule="auto"/>
            <w:ind w:firstLine="0"/>
            <w:rPr>
              <w:lang w:val="el-GR"/>
            </w:rPr>
          </w:pPr>
          <w:r w:rsidRPr="00435414">
            <w:rPr>
              <w:b/>
              <w:bCs/>
              <w:lang w:val="el-GR"/>
            </w:rPr>
            <w:t>Πίνακας 1</w:t>
          </w:r>
          <w:r w:rsidR="00435414" w:rsidRPr="00435414">
            <w:rPr>
              <w:b/>
              <w:bCs/>
              <w:lang w:val="el-GR"/>
            </w:rPr>
            <w:t>.</w:t>
          </w:r>
          <w:r w:rsidRPr="004F5815">
            <w:rPr>
              <w:lang w:val="el-GR"/>
            </w:rPr>
            <w:t xml:space="preserve"> Αποτελέσματα Πρώτης Γραμμικής Παλινδρόμησης</w:t>
          </w:r>
          <w:r w:rsidRPr="006F7F28">
            <w:ptab w:relativeTo="margin" w:alignment="right" w:leader="dot"/>
          </w:r>
          <w:r w:rsidR="00B00811" w:rsidRPr="008D791C">
            <w:rPr>
              <w:lang w:val="el-GR"/>
            </w:rPr>
            <w:t>46</w:t>
          </w:r>
        </w:p>
        <w:p w14:paraId="0AE0B509" w14:textId="443013C1" w:rsidR="001047B8" w:rsidRPr="008D791C" w:rsidRDefault="001047B8" w:rsidP="00435414">
          <w:pPr>
            <w:spacing w:after="120" w:line="240" w:lineRule="auto"/>
            <w:ind w:firstLine="0"/>
            <w:rPr>
              <w:lang w:val="el-GR"/>
            </w:rPr>
          </w:pPr>
          <w:r w:rsidRPr="00435414">
            <w:rPr>
              <w:b/>
              <w:bCs/>
              <w:lang w:val="el-GR"/>
            </w:rPr>
            <w:t>Πίνακας 2</w:t>
          </w:r>
          <w:r w:rsidR="00435414" w:rsidRPr="00435414">
            <w:rPr>
              <w:b/>
              <w:bCs/>
              <w:lang w:val="el-GR"/>
            </w:rPr>
            <w:t>.</w:t>
          </w:r>
          <w:r w:rsidRPr="004F5815">
            <w:rPr>
              <w:lang w:val="el-GR"/>
            </w:rPr>
            <w:t xml:space="preserve"> Αποτελέσματα </w:t>
          </w:r>
          <w:r>
            <w:rPr>
              <w:lang w:val="el-GR"/>
            </w:rPr>
            <w:t xml:space="preserve">Δεύτερης </w:t>
          </w:r>
          <w:r w:rsidRPr="004F5815">
            <w:rPr>
              <w:lang w:val="el-GR"/>
            </w:rPr>
            <w:t>Γραμμικής Παλινδρόμησης</w:t>
          </w:r>
          <w:r w:rsidRPr="006F7F28">
            <w:ptab w:relativeTo="margin" w:alignment="right" w:leader="dot"/>
          </w:r>
          <w:r w:rsidRPr="00070949">
            <w:rPr>
              <w:lang w:val="el-GR"/>
            </w:rPr>
            <w:t>5</w:t>
          </w:r>
          <w:r w:rsidR="00B00811" w:rsidRPr="008D791C">
            <w:rPr>
              <w:lang w:val="el-GR"/>
            </w:rPr>
            <w:t>0</w:t>
          </w:r>
        </w:p>
        <w:p w14:paraId="7E717D32" w14:textId="135BA5B2" w:rsidR="001047B8" w:rsidRPr="001D241B" w:rsidRDefault="001047B8" w:rsidP="001D241B">
          <w:pPr>
            <w:spacing w:after="120" w:line="240" w:lineRule="auto"/>
            <w:ind w:firstLine="0"/>
            <w:rPr>
              <w:lang w:val="el-GR"/>
            </w:rPr>
          </w:pPr>
          <w:r w:rsidRPr="00435414">
            <w:rPr>
              <w:b/>
              <w:bCs/>
              <w:lang w:val="el-GR"/>
            </w:rPr>
            <w:t>Πίνακας 3</w:t>
          </w:r>
          <w:r w:rsidR="00435414" w:rsidRPr="00435414">
            <w:rPr>
              <w:b/>
              <w:bCs/>
              <w:lang w:val="el-GR"/>
            </w:rPr>
            <w:t>.</w:t>
          </w:r>
          <w:r w:rsidRPr="004F5815">
            <w:rPr>
              <w:lang w:val="el-GR"/>
            </w:rPr>
            <w:t xml:space="preserve"> Αποτελέσματα </w:t>
          </w:r>
          <w:r>
            <w:rPr>
              <w:lang w:val="el-GR"/>
            </w:rPr>
            <w:t xml:space="preserve">Τρίτης </w:t>
          </w:r>
          <w:r w:rsidRPr="004F5815">
            <w:rPr>
              <w:lang w:val="el-GR"/>
            </w:rPr>
            <w:t>Γραμμικής Παλινδρόμησης</w:t>
          </w:r>
          <w:r w:rsidRPr="006F7F28">
            <w:ptab w:relativeTo="margin" w:alignment="right" w:leader="dot"/>
          </w:r>
          <w:r w:rsidRPr="00070949">
            <w:rPr>
              <w:lang w:val="el-GR"/>
            </w:rPr>
            <w:t>5</w:t>
          </w:r>
          <w:r w:rsidR="00B00811" w:rsidRPr="008D791C">
            <w:rPr>
              <w:lang w:val="el-GR"/>
            </w:rPr>
            <w:t>3</w:t>
          </w:r>
        </w:p>
      </w:sdtContent>
    </w:sdt>
    <w:p w14:paraId="3EC8A9D0" w14:textId="77777777" w:rsidR="00BD24F7" w:rsidRDefault="00BD24F7" w:rsidP="00C57997">
      <w:pPr>
        <w:pStyle w:val="1"/>
      </w:pPr>
    </w:p>
    <w:p w14:paraId="47DC4224" w14:textId="0C5E9A53" w:rsidR="00FC087B" w:rsidRPr="002E7AE8" w:rsidRDefault="00FC087B" w:rsidP="001047B8">
      <w:pPr>
        <w:spacing w:line="240" w:lineRule="auto"/>
        <w:ind w:firstLine="0"/>
        <w:jc w:val="left"/>
        <w:rPr>
          <w:b/>
          <w:caps/>
          <w:lang w:val="el-GR"/>
        </w:rPr>
      </w:pPr>
      <w:r>
        <w:rPr>
          <w:b/>
          <w:caps/>
        </w:rPr>
        <w:fldChar w:fldCharType="begin"/>
      </w:r>
      <w:r w:rsidRPr="002E7AE8">
        <w:rPr>
          <w:b/>
          <w:caps/>
          <w:lang w:val="el-GR"/>
        </w:rPr>
        <w:instrText xml:space="preserve"> </w:instrText>
      </w:r>
      <w:r>
        <w:rPr>
          <w:b/>
          <w:caps/>
        </w:rPr>
        <w:instrText>TOC</w:instrText>
      </w:r>
      <w:r w:rsidRPr="002E7AE8">
        <w:rPr>
          <w:b/>
          <w:caps/>
          <w:lang w:val="el-GR"/>
        </w:rPr>
        <w:instrText xml:space="preserve"> \</w:instrText>
      </w:r>
      <w:r>
        <w:rPr>
          <w:b/>
          <w:caps/>
        </w:rPr>
        <w:instrText>h</w:instrText>
      </w:r>
      <w:r w:rsidRPr="002E7AE8">
        <w:rPr>
          <w:b/>
          <w:caps/>
          <w:lang w:val="el-GR"/>
        </w:rPr>
        <w:instrText xml:space="preserve"> \</w:instrText>
      </w:r>
      <w:r>
        <w:rPr>
          <w:b/>
          <w:caps/>
        </w:rPr>
        <w:instrText>z</w:instrText>
      </w:r>
      <w:r w:rsidRPr="002E7AE8">
        <w:rPr>
          <w:b/>
          <w:caps/>
          <w:lang w:val="el-GR"/>
        </w:rPr>
        <w:instrText xml:space="preserve"> \</w:instrText>
      </w:r>
      <w:r>
        <w:rPr>
          <w:b/>
          <w:caps/>
        </w:rPr>
        <w:instrText>t</w:instrText>
      </w:r>
      <w:r w:rsidRPr="002E7AE8">
        <w:rPr>
          <w:b/>
          <w:caps/>
          <w:lang w:val="el-GR"/>
        </w:rPr>
        <w:instrText xml:space="preserve"> "Λεζάντα" \</w:instrText>
      </w:r>
      <w:r>
        <w:rPr>
          <w:b/>
          <w:caps/>
        </w:rPr>
        <w:instrText>c</w:instrText>
      </w:r>
      <w:r w:rsidRPr="002E7AE8">
        <w:rPr>
          <w:b/>
          <w:caps/>
          <w:lang w:val="el-GR"/>
        </w:rPr>
        <w:instrText xml:space="preserve"> </w:instrText>
      </w:r>
      <w:r>
        <w:rPr>
          <w:b/>
          <w:caps/>
        </w:rPr>
        <w:fldChar w:fldCharType="separate"/>
      </w:r>
    </w:p>
    <w:p w14:paraId="67E22B47" w14:textId="77777777" w:rsidR="00C06FBA" w:rsidRDefault="00FC087B" w:rsidP="00C57997">
      <w:pPr>
        <w:pStyle w:val="1"/>
      </w:pPr>
      <w:r>
        <w:fldChar w:fldCharType="end"/>
      </w:r>
    </w:p>
    <w:p w14:paraId="6AA33894" w14:textId="77777777" w:rsidR="00BD24F7" w:rsidRPr="002E7AE8" w:rsidRDefault="00BD24F7" w:rsidP="00BD24F7">
      <w:pPr>
        <w:pStyle w:val="a0"/>
        <w:rPr>
          <w:lang w:val="el-GR"/>
        </w:rPr>
      </w:pPr>
    </w:p>
    <w:p w14:paraId="12BE744A" w14:textId="77777777" w:rsidR="00BD24F7" w:rsidRPr="002E7AE8" w:rsidRDefault="00BD24F7" w:rsidP="001047B8">
      <w:pPr>
        <w:pStyle w:val="a0"/>
        <w:ind w:firstLine="0"/>
        <w:rPr>
          <w:lang w:val="el-GR"/>
        </w:rPr>
        <w:sectPr w:rsidR="00BD24F7" w:rsidRPr="002E7AE8" w:rsidSect="00C04D89">
          <w:headerReference w:type="default" r:id="rId10"/>
          <w:footerReference w:type="default" r:id="rId11"/>
          <w:type w:val="continuous"/>
          <w:pgSz w:w="11907" w:h="16839" w:code="9"/>
          <w:pgMar w:top="1440" w:right="1440" w:bottom="1440" w:left="1440" w:header="720" w:footer="720" w:gutter="0"/>
          <w:pgNumType w:fmt="upperRoman" w:start="1"/>
          <w:cols w:space="720"/>
          <w:titlePg/>
          <w:docGrid w:linePitch="326"/>
        </w:sectPr>
      </w:pPr>
    </w:p>
    <w:p w14:paraId="59723665" w14:textId="6E852763" w:rsidR="00F85B59" w:rsidRPr="00C200B1" w:rsidRDefault="00C33FE5" w:rsidP="00C57997">
      <w:pPr>
        <w:pStyle w:val="1"/>
      </w:pPr>
      <w:bookmarkStart w:id="18" w:name="_Toc443383854"/>
      <w:bookmarkStart w:id="19" w:name="_Toc443485431"/>
      <w:r>
        <w:lastRenderedPageBreak/>
        <w:t xml:space="preserve">ΚΕΦΑΛΑΙΟ </w:t>
      </w:r>
      <w:r>
        <w:rPr>
          <w:lang w:val="en-US"/>
        </w:rPr>
        <w:t>I</w:t>
      </w:r>
      <w:r w:rsidRPr="002E7AE8">
        <w:t xml:space="preserve"> -</w:t>
      </w:r>
      <w:r w:rsidR="00A01F1A">
        <w:t xml:space="preserve"> </w:t>
      </w:r>
      <w:r w:rsidR="00123642">
        <w:t>εισ</w:t>
      </w:r>
      <w:r w:rsidR="00F85B59" w:rsidRPr="00C200B1">
        <w:t>αγωγή</w:t>
      </w:r>
      <w:bookmarkEnd w:id="18"/>
      <w:bookmarkEnd w:id="19"/>
    </w:p>
    <w:p w14:paraId="66928474" w14:textId="77777777" w:rsidR="008275EC" w:rsidRDefault="008275EC" w:rsidP="008275EC">
      <w:pPr>
        <w:pBdr>
          <w:top w:val="nil"/>
          <w:left w:val="nil"/>
          <w:bottom w:val="nil"/>
          <w:right w:val="nil"/>
          <w:between w:val="nil"/>
          <w:bar w:val="nil"/>
        </w:pBdr>
        <w:spacing w:before="200" w:after="200"/>
        <w:ind w:right="278" w:firstLine="709"/>
        <w:rPr>
          <w:rFonts w:eastAsia="Arial Unicode MS"/>
          <w:color w:val="000000"/>
          <w:szCs w:val="26"/>
          <w:bdr w:val="nil"/>
          <w:lang w:val="el-GR"/>
          <w14:textOutline w14:w="0" w14:cap="flat" w14:cmpd="sng" w14:algn="ctr">
            <w14:noFill/>
            <w14:prstDash w14:val="solid"/>
            <w14:bevel/>
          </w14:textOutline>
        </w:rPr>
      </w:pPr>
      <w:r w:rsidRPr="008275EC">
        <w:rPr>
          <w:rFonts w:eastAsia="Arial Unicode MS"/>
          <w:color w:val="000000"/>
          <w:szCs w:val="26"/>
          <w:bdr w:val="nil"/>
          <w:lang w:val="el-GR"/>
          <w14:textOutline w14:w="0" w14:cap="flat" w14:cmpd="sng" w14:algn="ctr">
            <w14:noFill/>
            <w14:prstDash w14:val="solid"/>
            <w14:bevel/>
          </w14:textOutline>
        </w:rPr>
        <w:t xml:space="preserve">Ως τραπεζικό ίδρυμα νοείται ένας οργανισμός που ασχολείται με τη διαχείριση των νομισματικών και χρηματοοικονομικών συναλλαγών, και παρέχουν χρηματοοικονομικές υπηρεσίες είτε σε ιδιώτες είτε σε επιχειρήσεις (καταθέσεις, παροχή δανείου, επενδυτικά προϊόντα). Όλοι μας έχουμε τουλάχιστον ένα προϊόν από αυτά που προσφέρουν οι εν λόγω οργανισμοί. Πλέον, τα σύγχρονα τραπεζικά ιδρύματα, ανά τον κόσμο, διαφέρουν τόσο σε μέγεθος όσο και σε πεδίο εφαρμογής. Για παράδειγμα, υπάρχουν χρηματοοικονομικοί οργανισμοί που παρέχουν υπηρεσίες σε συγκεκριμένους πελάτες, αντί στο ευρύ κοινό. Τα τραπεζικά ιδρύματα είναι άρρηκτα συνδεδεμένα και με τα σύγχρονα οικονομικά συστήματα, ενώ μπορούν να βοηθήσουν έως και στην χρηματοδότηση αγορών και οικονομιών. Άλλωστε, οι σύγχρονες οικονομίες παγκοσμίως εξαρτώνται σε μεγάλο βαθμό από τον τραπεζικό κλάδο. </w:t>
      </w:r>
    </w:p>
    <w:p w14:paraId="0CF80C8E" w14:textId="146D5349" w:rsidR="008275EC" w:rsidRDefault="008275EC" w:rsidP="008275EC">
      <w:pPr>
        <w:pBdr>
          <w:top w:val="nil"/>
          <w:left w:val="nil"/>
          <w:bottom w:val="nil"/>
          <w:right w:val="nil"/>
          <w:between w:val="nil"/>
          <w:bar w:val="nil"/>
        </w:pBdr>
        <w:spacing w:before="200" w:after="200"/>
        <w:ind w:right="278" w:firstLine="709"/>
        <w:rPr>
          <w:rFonts w:eastAsia="Arial Unicode MS"/>
          <w:color w:val="000000"/>
          <w:szCs w:val="26"/>
          <w:bdr w:val="nil"/>
          <w:lang w:val="el-GR"/>
          <w14:textOutline w14:w="0" w14:cap="flat" w14:cmpd="sng" w14:algn="ctr">
            <w14:noFill/>
            <w14:prstDash w14:val="solid"/>
            <w14:bevel/>
          </w14:textOutline>
        </w:rPr>
      </w:pPr>
      <w:r w:rsidRPr="008275EC">
        <w:rPr>
          <w:rFonts w:eastAsia="Arial Unicode MS"/>
          <w:color w:val="000000"/>
          <w:szCs w:val="26"/>
          <w:bdr w:val="nil"/>
          <w:lang w:val="el-GR"/>
          <w14:textOutline w14:w="0" w14:cap="flat" w14:cmpd="sng" w14:algn="ctr">
            <w14:noFill/>
            <w14:prstDash w14:val="solid"/>
            <w14:bevel/>
          </w14:textOutline>
        </w:rPr>
        <w:t>Επιπλέον, στις σύγχρονες οικονομίας -πέρα από τους τραπεζικούς οργανισμούς- σημαντικό ρόλο παίζουν και οι χρηματιστηριακές αγορές. Όπως είναι γνωστό, τα χρηματιστήρια δίνουν τη δυνατότητα στις επιχειρήσεις να διαπραγματεύονται δημόσια. Ενώ, πολλές από τις επιχειρήσεις, τα χρησιμοποιούν (τα χρηματιστήρια) για αύξηση των κεφαλαίων τους. Είναι κατανοητό ότι μια αύξηση στα κεφάλαια των οργανισμών, βελτιώνει τις επιδόσεις αυτών, κάτι που μπορεί να οδηγήσει για διεύρυνση, ανάπτυξη, και δημιουργία νέων θέσεων εργασίας. Όλα αυτά, εν τέλει, αναπτύσσουν και τις ίδιες της οικονομίες των χωρών. Επίσης, η τιμή της μετοχής ενός οργανισμού μπορεί να είναι το βασικό σημείο παρακίνησης για την επένδυση σε έναν οργανισμό (είτε εγχώριων είτε ξένων επενδυτών). Οι επενδυτές παρακινούνται από υψηλές αποδόσεις μετοχών (</w:t>
      </w:r>
      <w:r w:rsidRPr="008275EC">
        <w:rPr>
          <w:rFonts w:eastAsia="Arial Unicode MS"/>
          <w:color w:val="000000"/>
          <w:szCs w:val="26"/>
          <w:bdr w:val="nil"/>
          <w:lang w:val="en-GB"/>
          <w14:textOutline w14:w="0" w14:cap="flat" w14:cmpd="sng" w14:algn="ctr">
            <w14:noFill/>
            <w14:prstDash w14:val="solid"/>
            <w14:bevel/>
          </w14:textOutline>
        </w:rPr>
        <w:t>Anderson</w:t>
      </w:r>
      <w:r w:rsidRPr="008275EC">
        <w:rPr>
          <w:rFonts w:eastAsia="Arial Unicode MS"/>
          <w:color w:val="000000"/>
          <w:szCs w:val="26"/>
          <w:bdr w:val="nil"/>
          <w:lang w:val="el-GR"/>
          <w14:textOutline w14:w="0" w14:cap="flat" w14:cmpd="sng" w14:algn="ctr">
            <w14:noFill/>
            <w14:prstDash w14:val="solid"/>
            <w14:bevel/>
          </w14:textOutline>
        </w:rPr>
        <w:t>, 2021</w:t>
      </w:r>
      <w:r w:rsidR="00A01F1A">
        <w:rPr>
          <w:rFonts w:eastAsia="Arial Unicode MS"/>
          <w:color w:val="000000"/>
          <w:szCs w:val="26"/>
          <w:bdr w:val="nil"/>
          <w:lang w:val="el-GR"/>
          <w14:textOutline w14:w="0" w14:cap="flat" w14:cmpd="sng" w14:algn="ctr">
            <w14:noFill/>
            <w14:prstDash w14:val="solid"/>
            <w14:bevel/>
          </w14:textOutline>
        </w:rPr>
        <w:t xml:space="preserve">; </w:t>
      </w:r>
      <w:r w:rsidRPr="008275EC">
        <w:rPr>
          <w:rFonts w:eastAsia="Arial Unicode MS"/>
          <w:color w:val="000000"/>
          <w:szCs w:val="26"/>
          <w:bdr w:val="nil"/>
          <w:lang w:val="en-GB"/>
          <w14:textOutline w14:w="0" w14:cap="flat" w14:cmpd="sng" w14:algn="ctr">
            <w14:noFill/>
            <w14:prstDash w14:val="solid"/>
            <w14:bevel/>
          </w14:textOutline>
        </w:rPr>
        <w:t>Gordon</w:t>
      </w:r>
      <w:r w:rsidRPr="008275EC">
        <w:rPr>
          <w:rFonts w:eastAsia="Arial Unicode MS"/>
          <w:color w:val="000000"/>
          <w:szCs w:val="26"/>
          <w:bdr w:val="nil"/>
          <w:lang w:val="el-GR"/>
          <w14:textOutline w14:w="0" w14:cap="flat" w14:cmpd="sng" w14:algn="ctr">
            <w14:noFill/>
            <w14:prstDash w14:val="solid"/>
            <w14:bevel/>
          </w14:textOutline>
        </w:rPr>
        <w:t>, 2021).</w:t>
      </w:r>
    </w:p>
    <w:p w14:paraId="550AA25A" w14:textId="77777777" w:rsidR="008275EC" w:rsidRDefault="008275EC" w:rsidP="008275EC">
      <w:pPr>
        <w:pBdr>
          <w:top w:val="nil"/>
          <w:left w:val="nil"/>
          <w:bottom w:val="nil"/>
          <w:right w:val="nil"/>
          <w:between w:val="nil"/>
          <w:bar w:val="nil"/>
        </w:pBdr>
        <w:spacing w:before="200" w:after="200"/>
        <w:ind w:right="278" w:firstLine="709"/>
        <w:rPr>
          <w:rFonts w:eastAsia="Arial Unicode MS"/>
          <w:color w:val="000000"/>
          <w:szCs w:val="26"/>
          <w:bdr w:val="nil"/>
          <w:lang w:val="el-GR"/>
          <w14:textOutline w14:w="0" w14:cap="flat" w14:cmpd="sng" w14:algn="ctr">
            <w14:noFill/>
            <w14:prstDash w14:val="solid"/>
            <w14:bevel/>
          </w14:textOutline>
        </w:rPr>
      </w:pPr>
      <w:r w:rsidRPr="008275EC">
        <w:rPr>
          <w:rFonts w:eastAsia="Arial Unicode MS"/>
          <w:color w:val="000000"/>
          <w:szCs w:val="26"/>
          <w:bdr w:val="nil"/>
          <w:lang w:val="el-GR"/>
          <w14:textOutline w14:w="0" w14:cap="flat" w14:cmpd="sng" w14:algn="ctr">
            <w14:noFill/>
            <w14:prstDash w14:val="solid"/>
            <w14:bevel/>
          </w14:textOutline>
        </w:rPr>
        <w:t xml:space="preserve">Λαμβάνοντας υπόψη τα παραπάνω, είναι εύκολα κατανοητό ότι οι χρηματιστηριακές αποδόσεις των τραπεζικών ιδρυμάτων είναι ιδιαίτερα σημαντικές στις σύγχρονες οικονομίες. Κατά συνέπεια, οι προβλέψεις περί των αποδόσεων των τιμών των μετοχών των τραπεζικών ιδρυμάτων είναι ένα μείζον θέμα που απασχολεί τους αναλυτές και τους ερευνητές παγκοσμίως. Ακολούθως, βασιζόμενη σε όλα τα προαναφερθέντα, η εν λόγω διπλωματική εργασία θα ερευνήσει την επίδραση που έχουν οι χρηματοοικονομικές αποδόσεις και οι χρηματοπιστωτικοί κίνδυνοι των τραπεζικών ιδρυμάτων στις τιμές των μετοχών αυτών. </w:t>
      </w:r>
    </w:p>
    <w:p w14:paraId="5B7FD204" w14:textId="77777777" w:rsidR="008275EC" w:rsidRDefault="008275EC" w:rsidP="008275EC">
      <w:pPr>
        <w:pBdr>
          <w:top w:val="nil"/>
          <w:left w:val="nil"/>
          <w:bottom w:val="nil"/>
          <w:right w:val="nil"/>
          <w:between w:val="nil"/>
          <w:bar w:val="nil"/>
        </w:pBdr>
        <w:spacing w:before="200" w:after="200"/>
        <w:ind w:right="278" w:firstLine="709"/>
        <w:rPr>
          <w:rFonts w:eastAsia="Arial Unicode MS"/>
          <w:color w:val="000000"/>
          <w:szCs w:val="26"/>
          <w:bdr w:val="nil"/>
          <w:lang w:val="el-GR"/>
          <w14:textOutline w14:w="0" w14:cap="flat" w14:cmpd="sng" w14:algn="ctr">
            <w14:noFill/>
            <w14:prstDash w14:val="solid"/>
            <w14:bevel/>
          </w14:textOutline>
        </w:rPr>
      </w:pPr>
      <w:r w:rsidRPr="008275EC">
        <w:rPr>
          <w:rFonts w:eastAsia="Arial Unicode MS"/>
          <w:color w:val="000000"/>
          <w:szCs w:val="26"/>
          <w:bdr w:val="nil"/>
          <w:lang w:val="el-GR"/>
          <w14:textOutline w14:w="0" w14:cap="flat" w14:cmpd="sng" w14:algn="ctr">
            <w14:noFill/>
            <w14:prstDash w14:val="solid"/>
            <w14:bevel/>
          </w14:textOutline>
        </w:rPr>
        <w:lastRenderedPageBreak/>
        <w:t xml:space="preserve">Η ανάλυση θα βασισθεί στις τέσσερις ελληνικές συστημικές τράπεζες, δηλαδή στην Εθνική Τράπεζα της Ελλάδας, στην Τράπεζα Πειραιώς, στην </w:t>
      </w:r>
      <w:r w:rsidRPr="008275EC">
        <w:rPr>
          <w:rFonts w:eastAsia="Arial Unicode MS"/>
          <w:color w:val="000000"/>
          <w:szCs w:val="26"/>
          <w:bdr w:val="nil"/>
          <w14:textOutline w14:w="0" w14:cap="flat" w14:cmpd="sng" w14:algn="ctr">
            <w14:noFill/>
            <w14:prstDash w14:val="solid"/>
            <w14:bevel/>
          </w14:textOutline>
        </w:rPr>
        <w:t>Alpha</w:t>
      </w:r>
      <w:r w:rsidRPr="008275EC">
        <w:rPr>
          <w:rFonts w:eastAsia="Arial Unicode MS"/>
          <w:color w:val="000000"/>
          <w:szCs w:val="26"/>
          <w:bdr w:val="nil"/>
          <w:lang w:val="el-GR"/>
          <w14:textOutline w14:w="0" w14:cap="flat" w14:cmpd="sng" w14:algn="ctr">
            <w14:noFill/>
            <w14:prstDash w14:val="solid"/>
            <w14:bevel/>
          </w14:textOutline>
        </w:rPr>
        <w:t xml:space="preserve"> </w:t>
      </w:r>
      <w:r w:rsidRPr="008275EC">
        <w:rPr>
          <w:rFonts w:eastAsia="Arial Unicode MS"/>
          <w:color w:val="000000"/>
          <w:szCs w:val="26"/>
          <w:bdr w:val="nil"/>
          <w14:textOutline w14:w="0" w14:cap="flat" w14:cmpd="sng" w14:algn="ctr">
            <w14:noFill/>
            <w14:prstDash w14:val="solid"/>
            <w14:bevel/>
          </w14:textOutline>
        </w:rPr>
        <w:t>Bank</w:t>
      </w:r>
      <w:r w:rsidRPr="008275EC">
        <w:rPr>
          <w:rFonts w:eastAsia="Arial Unicode MS"/>
          <w:color w:val="000000"/>
          <w:szCs w:val="26"/>
          <w:bdr w:val="nil"/>
          <w:lang w:val="el-GR"/>
          <w14:textOutline w14:w="0" w14:cap="flat" w14:cmpd="sng" w14:algn="ctr">
            <w14:noFill/>
            <w14:prstDash w14:val="solid"/>
            <w14:bevel/>
          </w14:textOutline>
        </w:rPr>
        <w:t xml:space="preserve"> και στην Τράπεζα </w:t>
      </w:r>
      <w:r w:rsidRPr="008275EC">
        <w:rPr>
          <w:rFonts w:eastAsia="Arial Unicode MS"/>
          <w:color w:val="000000"/>
          <w:szCs w:val="26"/>
          <w:bdr w:val="nil"/>
          <w14:textOutline w14:w="0" w14:cap="flat" w14:cmpd="sng" w14:algn="ctr">
            <w14:noFill/>
            <w14:prstDash w14:val="solid"/>
            <w14:bevel/>
          </w14:textOutline>
        </w:rPr>
        <w:t>Eurobank</w:t>
      </w:r>
      <w:r w:rsidRPr="008275EC">
        <w:rPr>
          <w:rFonts w:eastAsia="Arial Unicode MS"/>
          <w:color w:val="000000"/>
          <w:szCs w:val="26"/>
          <w:bdr w:val="nil"/>
          <w:lang w:val="el-GR"/>
          <w14:textOutline w14:w="0" w14:cap="flat" w14:cmpd="sng" w14:algn="ctr">
            <w14:noFill/>
            <w14:prstDash w14:val="solid"/>
            <w14:bevel/>
          </w14:textOutline>
        </w:rPr>
        <w:t xml:space="preserve"> </w:t>
      </w:r>
      <w:r w:rsidRPr="008275EC">
        <w:rPr>
          <w:rFonts w:eastAsia="Arial Unicode MS"/>
          <w:color w:val="000000"/>
          <w:szCs w:val="26"/>
          <w:bdr w:val="nil"/>
          <w14:textOutline w14:w="0" w14:cap="flat" w14:cmpd="sng" w14:algn="ctr">
            <w14:noFill/>
            <w14:prstDash w14:val="solid"/>
            <w14:bevel/>
          </w14:textOutline>
        </w:rPr>
        <w:t>Ergasias</w:t>
      </w:r>
      <w:r w:rsidRPr="008275EC">
        <w:rPr>
          <w:rFonts w:eastAsia="Arial Unicode MS"/>
          <w:color w:val="000000"/>
          <w:szCs w:val="26"/>
          <w:bdr w:val="nil"/>
          <w:lang w:val="el-GR"/>
          <w14:textOutline w14:w="0" w14:cap="flat" w14:cmpd="sng" w14:algn="ctr">
            <w14:noFill/>
            <w14:prstDash w14:val="solid"/>
            <w14:bevel/>
          </w14:textOutline>
        </w:rPr>
        <w:t>. Οι εν λόγω οργανισμοί είναι σημαντικοί για την ελληνική οικονομία. Ενώ, μεταβολές στις χρηματοοικονομικές επιδόσεις τους και στις αποδόσεις των τιμών των μετοχών τους έχουν αντίκτυπο στην ελληνική οικονομία. Η περίοδος εξέτασης θα βασισθεί σε 16 έτη, από το 2005 έως το 2020, μια χρονική περίοδος με ιδιαίτερη σημασία, που περιλαμβάνει τα χρόνια ευημερίας πριν το ξέσπασμα της οικονομικής κρίσης, τα χρόνια της κρίσης, καθώς και τα χρόνια μετά την οικονομική κρίση, όπου οι οργανισμοί προσπαθούν να βελτιωθούν και να αναπτυχθούν. Η οικονομική κρίση έφερε αστάθεια, και επηρέασε βαθιά και αρνητικά το ελληνικό τραπεζικό σύστημα, οδηγώντας σε πληθώρα συγχωνεύσεων και εξαγορών. Ως αποτέλεσμα, ήταν η δημιουργία των παραπάνω συστημικών τραπεζών, οι οποίες κατέχουν σχεδόν όλο το μερίδιο του ελληνικού τραπεζικού κλάδου.</w:t>
      </w:r>
    </w:p>
    <w:p w14:paraId="128F4BAA" w14:textId="5D0D1F8A" w:rsidR="008275EC" w:rsidRPr="008275EC" w:rsidRDefault="008275EC" w:rsidP="008275EC">
      <w:pPr>
        <w:pBdr>
          <w:top w:val="nil"/>
          <w:left w:val="nil"/>
          <w:bottom w:val="nil"/>
          <w:right w:val="nil"/>
          <w:between w:val="nil"/>
          <w:bar w:val="nil"/>
        </w:pBdr>
        <w:spacing w:before="200" w:after="200"/>
        <w:ind w:right="278" w:firstLine="709"/>
        <w:rPr>
          <w:rFonts w:eastAsia="Arial Unicode MS"/>
          <w:color w:val="000000"/>
          <w:szCs w:val="26"/>
          <w:bdr w:val="nil"/>
          <w:lang w:val="el-GR"/>
          <w14:textOutline w14:w="0" w14:cap="flat" w14:cmpd="sng" w14:algn="ctr">
            <w14:noFill/>
            <w14:prstDash w14:val="solid"/>
            <w14:bevel/>
          </w14:textOutline>
        </w:rPr>
      </w:pPr>
      <w:r w:rsidRPr="008275EC">
        <w:rPr>
          <w:rFonts w:eastAsia="Arial Unicode MS"/>
          <w:color w:val="000000"/>
          <w:szCs w:val="26"/>
          <w:bdr w:val="nil"/>
          <w:lang w:val="el-GR"/>
          <w14:textOutline w14:w="0" w14:cap="flat" w14:cmpd="sng" w14:algn="ctr">
            <w14:noFill/>
            <w14:prstDash w14:val="solid"/>
            <w14:bevel/>
          </w14:textOutline>
        </w:rPr>
        <w:t>Ακολούθως, τα οικονομικά στοιχεία που θα χρησιμοποιηθούν για την ανάλυση της εν λόγω εργασίας είναι τα καθαρά κέρδη/ ζημιές, τα κέρδη ανά μετοχή, δύο δείκτες κερδοφορίας (δείκτης απόδοσης περιουσιακών στοιχείων και δείκτης απόδοσης ιδίων κεφαλαίων), τέσσερις χρηματοπιστωτικοί κίνδυνοι (κίνδυνος επιτοκίου, πιστωτικός κίνδυνος, κίνδυνος φερεγγυότητας και κίνδυνος ρευστότητας), και οι τιμές των μετοχών των τραπεζικών αυτών ιδρυμάτων. Οι μεταβολές των οικονομικών στοιχείων θα χρησιμοποιηθούν, όχι οι απόλυτες τιμές. Συνολικά θα πραγματοποιηθούν τρεις αναλύσεις παλινδρόμησης, μέσω των οποίων θα απαντηθούν τα παρακάτω πέντε ερευνητικά ερωτήματα:</w:t>
      </w:r>
    </w:p>
    <w:p w14:paraId="1E566D23" w14:textId="77777777" w:rsidR="008275EC" w:rsidRPr="008275EC" w:rsidRDefault="008275EC" w:rsidP="008275EC">
      <w:pPr>
        <w:numPr>
          <w:ilvl w:val="0"/>
          <w:numId w:val="14"/>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Ποιος είναι ο αντίκτυπος </w:t>
      </w:r>
      <w:bookmarkStart w:id="20" w:name="_Hlk82852591"/>
      <w:r w:rsidRPr="008275EC">
        <w:rPr>
          <w:rFonts w:eastAsia="Calibri"/>
          <w:szCs w:val="24"/>
          <w:lang w:val="el-GR"/>
        </w:rPr>
        <w:t xml:space="preserve">των μεταβολών των κερδών </w:t>
      </w:r>
      <w:bookmarkEnd w:id="20"/>
      <w:r w:rsidRPr="008275EC">
        <w:rPr>
          <w:rFonts w:eastAsia="Calibri"/>
          <w:szCs w:val="24"/>
          <w:lang w:val="el-GR"/>
        </w:rPr>
        <w:t>στις αποδόσεις των τιμών των μετοχών;</w:t>
      </w:r>
    </w:p>
    <w:p w14:paraId="74A589EA" w14:textId="77777777" w:rsidR="008275EC" w:rsidRPr="008275EC" w:rsidRDefault="008275EC" w:rsidP="008275EC">
      <w:pPr>
        <w:numPr>
          <w:ilvl w:val="0"/>
          <w:numId w:val="14"/>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Ποιος είναι ο αντίκτυπος </w:t>
      </w:r>
      <w:bookmarkStart w:id="21" w:name="_Hlk82854087"/>
      <w:r w:rsidRPr="008275EC">
        <w:rPr>
          <w:rFonts w:eastAsia="Calibri"/>
          <w:szCs w:val="24"/>
          <w:lang w:val="el-GR"/>
        </w:rPr>
        <w:t xml:space="preserve">των μεταβολών των χρηματοοικονομικών αποδόσεων </w:t>
      </w:r>
      <w:bookmarkEnd w:id="21"/>
      <w:r w:rsidRPr="008275EC">
        <w:rPr>
          <w:rFonts w:eastAsia="Calibri"/>
          <w:szCs w:val="24"/>
          <w:lang w:val="el-GR"/>
        </w:rPr>
        <w:t>στις αποδόσεις των τιμών των μετοχών;</w:t>
      </w:r>
    </w:p>
    <w:p w14:paraId="0DA8CAAD" w14:textId="77777777" w:rsidR="008275EC" w:rsidRPr="008275EC" w:rsidRDefault="008275EC" w:rsidP="008275EC">
      <w:pPr>
        <w:numPr>
          <w:ilvl w:val="0"/>
          <w:numId w:val="14"/>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Ποιος είναι ο αντίκτυπος των μεταβολών των κερδών ανά μετοχή στις αποδόσεις των τιμών των μετοχών;</w:t>
      </w:r>
    </w:p>
    <w:p w14:paraId="1F73FB48" w14:textId="77777777" w:rsidR="008275EC" w:rsidRPr="008275EC" w:rsidRDefault="008275EC" w:rsidP="008275EC">
      <w:pPr>
        <w:numPr>
          <w:ilvl w:val="0"/>
          <w:numId w:val="14"/>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Ποιος είναι ο αντίκτυπος </w:t>
      </w:r>
      <w:bookmarkStart w:id="22" w:name="_Hlk82852544"/>
      <w:bookmarkStart w:id="23" w:name="_Hlk82808171"/>
      <w:r w:rsidRPr="008275EC">
        <w:rPr>
          <w:rFonts w:eastAsia="Calibri"/>
          <w:szCs w:val="24"/>
          <w:lang w:val="el-GR"/>
        </w:rPr>
        <w:t>τ</w:t>
      </w:r>
      <w:bookmarkStart w:id="24" w:name="_Hlk82808910"/>
      <w:r w:rsidRPr="008275EC">
        <w:rPr>
          <w:rFonts w:eastAsia="Calibri"/>
          <w:szCs w:val="24"/>
          <w:lang w:val="el-GR"/>
        </w:rPr>
        <w:t xml:space="preserve">ων μεταβολών των </w:t>
      </w:r>
      <w:bookmarkEnd w:id="22"/>
      <w:r w:rsidRPr="008275EC">
        <w:rPr>
          <w:rFonts w:eastAsia="Calibri"/>
          <w:szCs w:val="24"/>
          <w:lang w:val="el-GR"/>
        </w:rPr>
        <w:t>χρηματοπιστωτικών κινδύνων</w:t>
      </w:r>
      <w:bookmarkEnd w:id="24"/>
      <w:r w:rsidRPr="008275EC">
        <w:rPr>
          <w:rFonts w:eastAsia="Calibri"/>
          <w:szCs w:val="24"/>
          <w:lang w:val="el-GR"/>
        </w:rPr>
        <w:t xml:space="preserve"> </w:t>
      </w:r>
      <w:bookmarkEnd w:id="23"/>
      <w:r w:rsidRPr="008275EC">
        <w:rPr>
          <w:rFonts w:eastAsia="Calibri"/>
          <w:szCs w:val="24"/>
          <w:lang w:val="el-GR"/>
        </w:rPr>
        <w:t>στις αποδόσεις των τιμών των μετοχών;</w:t>
      </w:r>
    </w:p>
    <w:p w14:paraId="3F7BC7FB" w14:textId="77777777" w:rsidR="008275EC" w:rsidRPr="008275EC" w:rsidRDefault="008275EC" w:rsidP="008275EC">
      <w:pPr>
        <w:numPr>
          <w:ilvl w:val="0"/>
          <w:numId w:val="14"/>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Ποιος είναι ο αντίκτυπος </w:t>
      </w:r>
      <w:bookmarkStart w:id="25" w:name="_Hlk82809248"/>
      <w:bookmarkStart w:id="26" w:name="_Hlk82852730"/>
      <w:r w:rsidRPr="008275EC">
        <w:rPr>
          <w:rFonts w:eastAsia="Calibri"/>
          <w:szCs w:val="24"/>
          <w:lang w:val="el-GR"/>
        </w:rPr>
        <w:t xml:space="preserve">των μεταβολών των χρηματοπιστωτικών κινδύνων στις μεταβολές </w:t>
      </w:r>
      <w:bookmarkEnd w:id="25"/>
      <w:r w:rsidRPr="008275EC">
        <w:rPr>
          <w:rFonts w:eastAsia="Calibri"/>
          <w:szCs w:val="24"/>
          <w:lang w:val="el-GR"/>
        </w:rPr>
        <w:t>των κερδών και των κερδών ανά μετοχή</w:t>
      </w:r>
      <w:bookmarkEnd w:id="26"/>
      <w:r w:rsidRPr="008275EC">
        <w:rPr>
          <w:rFonts w:eastAsia="Calibri"/>
          <w:szCs w:val="24"/>
          <w:lang w:val="el-GR"/>
        </w:rPr>
        <w:t>;</w:t>
      </w:r>
    </w:p>
    <w:p w14:paraId="63171FA7" w14:textId="06784EB7" w:rsidR="008275EC" w:rsidRDefault="008275EC" w:rsidP="000527B5">
      <w:pPr>
        <w:pBdr>
          <w:top w:val="nil"/>
          <w:left w:val="nil"/>
          <w:bottom w:val="nil"/>
          <w:right w:val="nil"/>
          <w:between w:val="nil"/>
          <w:bar w:val="nil"/>
        </w:pBdr>
        <w:spacing w:before="200" w:after="200"/>
        <w:ind w:right="278" w:firstLine="709"/>
        <w:rPr>
          <w:rFonts w:eastAsia="Arial Unicode MS"/>
          <w:color w:val="000000"/>
          <w:szCs w:val="26"/>
          <w:bdr w:val="nil"/>
          <w:lang w:val="el-GR"/>
          <w14:textOutline w14:w="0" w14:cap="flat" w14:cmpd="sng" w14:algn="ctr">
            <w14:noFill/>
            <w14:prstDash w14:val="solid"/>
            <w14:bevel/>
          </w14:textOutline>
        </w:rPr>
      </w:pPr>
      <w:r w:rsidRPr="008275EC">
        <w:rPr>
          <w:rFonts w:eastAsia="Arial Unicode MS"/>
          <w:color w:val="000000"/>
          <w:szCs w:val="26"/>
          <w:bdr w:val="nil"/>
          <w:lang w:val="el-GR"/>
          <w14:textOutline w14:w="0" w14:cap="flat" w14:cmpd="sng" w14:algn="ctr">
            <w14:noFill/>
            <w14:prstDash w14:val="solid"/>
            <w14:bevel/>
          </w14:textOutline>
        </w:rPr>
        <w:lastRenderedPageBreak/>
        <w:t xml:space="preserve">Συνεχίζοντας, ερευνώντας τους παράγοντες που επηρεάζουν τις τιμές των μετοχών, μπορεί να γίνει ακόμη και πρόβλεψη των μεταβολών των τιμών αυτών. Λόγω της σημασίας αυτών των τεσσάρων τραπεζικών ιδρυμάτων, κάθε επιτυχής πρόβλεψη των τιμών των μετοχών τους θα μπορούσε να δημιουργήσει σε σημαντικά κέρδη για έναν επενδυτή. Αυτός είναι ο λόγος που αυτή η διπλωματική εργασία θα μπορούσε να είναι χρήσιμη για τους επενδυτές, οι οποίοι θα ήθελαν να επενδύσουν στις ελληνικές συστημικές τράπεζες. </w:t>
      </w:r>
      <w:r w:rsidR="000070C2">
        <w:rPr>
          <w:rFonts w:eastAsia="Arial Unicode MS"/>
          <w:color w:val="000000"/>
          <w:szCs w:val="26"/>
          <w:bdr w:val="nil"/>
          <w:lang w:val="el-GR"/>
          <w14:textOutline w14:w="0" w14:cap="flat" w14:cmpd="sng" w14:algn="ctr">
            <w14:noFill/>
            <w14:prstDash w14:val="solid"/>
            <w14:bevel/>
          </w14:textOutline>
        </w:rPr>
        <w:t>Η</w:t>
      </w:r>
      <w:r w:rsidR="00E37072">
        <w:rPr>
          <w:rFonts w:eastAsia="Arial Unicode MS"/>
          <w:color w:val="000000"/>
          <w:szCs w:val="26"/>
          <w:bdr w:val="nil"/>
          <w:lang w:val="el-GR"/>
          <w14:textOutline w14:w="0" w14:cap="flat" w14:cmpd="sng" w14:algn="ctr">
            <w14:noFill/>
            <w14:prstDash w14:val="solid"/>
            <w14:bevel/>
          </w14:textOutline>
        </w:rPr>
        <w:t xml:space="preserve"> </w:t>
      </w:r>
      <w:r w:rsidR="000070C2">
        <w:rPr>
          <w:rFonts w:eastAsia="Arial Unicode MS"/>
          <w:color w:val="000000"/>
          <w:szCs w:val="26"/>
          <w:bdr w:val="nil"/>
          <w:lang w:val="el-GR"/>
          <w14:textOutline w14:w="0" w14:cap="flat" w14:cmpd="sng" w14:algn="ctr">
            <w14:noFill/>
            <w14:prstDash w14:val="solid"/>
            <w14:bevel/>
          </w14:textOutline>
        </w:rPr>
        <w:t>εργασία</w:t>
      </w:r>
      <w:r w:rsidRPr="008275EC">
        <w:rPr>
          <w:rFonts w:eastAsia="Arial Unicode MS"/>
          <w:color w:val="000000"/>
          <w:szCs w:val="26"/>
          <w:bdr w:val="nil"/>
          <w:lang w:val="el-GR"/>
          <w14:textOutline w14:w="0" w14:cap="flat" w14:cmpd="sng" w14:algn="ctr">
            <w14:noFill/>
            <w14:prstDash w14:val="solid"/>
            <w14:bevel/>
          </w14:textOutline>
        </w:rPr>
        <w:t xml:space="preserve"> </w:t>
      </w:r>
      <w:r w:rsidR="00E37072">
        <w:rPr>
          <w:rFonts w:eastAsia="Arial Unicode MS"/>
          <w:color w:val="000000"/>
          <w:szCs w:val="26"/>
          <w:bdr w:val="nil"/>
          <w:lang w:val="el-GR"/>
          <w14:textOutline w14:w="0" w14:cap="flat" w14:cmpd="sng" w14:algn="ctr">
            <w14:noFill/>
            <w14:prstDash w14:val="solid"/>
            <w14:bevel/>
          </w14:textOutline>
        </w:rPr>
        <w:t xml:space="preserve">αυτή </w:t>
      </w:r>
      <w:r w:rsidRPr="008275EC">
        <w:rPr>
          <w:rFonts w:eastAsia="Arial Unicode MS"/>
          <w:color w:val="000000"/>
          <w:szCs w:val="26"/>
          <w:bdr w:val="nil"/>
          <w:lang w:val="el-GR"/>
          <w14:textOutline w14:w="0" w14:cap="flat" w14:cmpd="sng" w14:algn="ctr">
            <w14:noFill/>
            <w14:prstDash w14:val="solid"/>
            <w14:bevel/>
          </w14:textOutline>
        </w:rPr>
        <w:t>θα μπορούσε να τους βοηθήσει να κατανοήσουν τις μεταβολές των τιμών των μετοχών, λόγω των αλλαγών στα αποτελέσματα χρήσης, στις χρηματοοικονομικές τους αποδόσεις, καθώς και λόγω των μεταβολών στους χρηματοπιστωτικούς τους κινδύνους.</w:t>
      </w:r>
    </w:p>
    <w:p w14:paraId="47CA84C6" w14:textId="7AC39BD8" w:rsidR="008275EC" w:rsidRPr="008275EC" w:rsidRDefault="008275EC" w:rsidP="008275EC">
      <w:pPr>
        <w:pBdr>
          <w:top w:val="nil"/>
          <w:left w:val="nil"/>
          <w:bottom w:val="nil"/>
          <w:right w:val="nil"/>
          <w:between w:val="nil"/>
          <w:bar w:val="nil"/>
        </w:pBdr>
        <w:spacing w:before="200" w:after="200"/>
        <w:ind w:right="278" w:firstLine="709"/>
        <w:rPr>
          <w:rFonts w:eastAsia="Arial Unicode MS"/>
          <w:color w:val="000000"/>
          <w:szCs w:val="26"/>
          <w:bdr w:val="nil"/>
          <w:lang w:val="el-GR"/>
          <w14:textOutline w14:w="0" w14:cap="flat" w14:cmpd="sng" w14:algn="ctr">
            <w14:noFill/>
            <w14:prstDash w14:val="solid"/>
            <w14:bevel/>
          </w14:textOutline>
        </w:rPr>
      </w:pPr>
      <w:r w:rsidRPr="008275EC">
        <w:rPr>
          <w:rFonts w:eastAsia="Arial Unicode MS"/>
          <w:color w:val="000000"/>
          <w:szCs w:val="26"/>
          <w:bdr w:val="nil"/>
          <w:lang w:val="el-GR"/>
          <w14:textOutline w14:w="0" w14:cap="flat" w14:cmpd="sng" w14:algn="ctr">
            <w14:noFill/>
            <w14:prstDash w14:val="solid"/>
            <w14:bevel/>
          </w14:textOutline>
        </w:rPr>
        <w:t xml:space="preserve">Η παρούσα εργασία συνεχίζεται ως εξής, στο Κεφάλαιο </w:t>
      </w:r>
      <w:r w:rsidR="00C33FE5" w:rsidRPr="00C33FE5">
        <w:rPr>
          <w:rFonts w:eastAsia="Arial Unicode MS"/>
          <w:color w:val="000000"/>
          <w:szCs w:val="26"/>
          <w:bdr w:val="nil"/>
          <w:lang w:val="el-GR"/>
          <w14:textOutline w14:w="0" w14:cap="flat" w14:cmpd="sng" w14:algn="ctr">
            <w14:noFill/>
            <w14:prstDash w14:val="solid"/>
            <w14:bevel/>
          </w14:textOutline>
        </w:rPr>
        <w:t>2</w:t>
      </w:r>
      <w:r w:rsidRPr="008275EC">
        <w:rPr>
          <w:rFonts w:eastAsia="Arial Unicode MS"/>
          <w:color w:val="000000"/>
          <w:szCs w:val="26"/>
          <w:bdr w:val="nil"/>
          <w:lang w:val="el-GR"/>
          <w14:textOutline w14:w="0" w14:cap="flat" w14:cmpd="sng" w14:algn="ctr">
            <w14:noFill/>
            <w14:prstDash w14:val="solid"/>
            <w14:bevel/>
          </w14:textOutline>
        </w:rPr>
        <w:t xml:space="preserve">, θα παρουσιαστεί η σχετική βιβλιογραφική ανασκόπηση, οδηγώντας στο ερευνητικό κενό που θα εξετάσει αυτή η εργασία. Ακόμη, γίνεται αναφορά και σε σχετικές έρευνες στη βιβλιογραφία, στις οποίες βασίζεται η μεθοδολογία. Στο Κεφάλαιο </w:t>
      </w:r>
      <w:r w:rsidR="00C33FE5" w:rsidRPr="00C33FE5">
        <w:rPr>
          <w:rFonts w:eastAsia="Arial Unicode MS"/>
          <w:color w:val="000000"/>
          <w:szCs w:val="26"/>
          <w:bdr w:val="nil"/>
          <w:lang w:val="el-GR"/>
          <w14:textOutline w14:w="0" w14:cap="flat" w14:cmpd="sng" w14:algn="ctr">
            <w14:noFill/>
            <w14:prstDash w14:val="solid"/>
            <w14:bevel/>
          </w14:textOutline>
        </w:rPr>
        <w:t>3</w:t>
      </w:r>
      <w:r w:rsidRPr="008275EC">
        <w:rPr>
          <w:rFonts w:eastAsia="Arial Unicode MS"/>
          <w:color w:val="000000"/>
          <w:szCs w:val="26"/>
          <w:bdr w:val="nil"/>
          <w:lang w:val="el-GR"/>
          <w14:textOutline w14:w="0" w14:cap="flat" w14:cmpd="sng" w14:algn="ctr">
            <w14:noFill/>
            <w14:prstDash w14:val="solid"/>
            <w14:bevel/>
          </w14:textOutline>
        </w:rPr>
        <w:t xml:space="preserve">, παρουσιάζεται η μεθοδολογία έρευνας που θα χρησιμοποιηθεί (ανάλυση γραμμικής παλινδρόμησης). Στο Κεφάλαιο </w:t>
      </w:r>
      <w:r w:rsidR="00C33FE5" w:rsidRPr="00C33FE5">
        <w:rPr>
          <w:rFonts w:eastAsia="Arial Unicode MS"/>
          <w:color w:val="000000"/>
          <w:szCs w:val="26"/>
          <w:bdr w:val="nil"/>
          <w:lang w:val="el-GR"/>
          <w14:textOutline w14:w="0" w14:cap="flat" w14:cmpd="sng" w14:algn="ctr">
            <w14:noFill/>
            <w14:prstDash w14:val="solid"/>
            <w14:bevel/>
          </w14:textOutline>
        </w:rPr>
        <w:t>4</w:t>
      </w:r>
      <w:r w:rsidRPr="008275EC">
        <w:rPr>
          <w:rFonts w:eastAsia="Arial Unicode MS"/>
          <w:color w:val="000000"/>
          <w:szCs w:val="26"/>
          <w:bdr w:val="nil"/>
          <w:lang w:val="el-GR"/>
          <w14:textOutline w14:w="0" w14:cap="flat" w14:cmpd="sng" w14:algn="ctr">
            <w14:noFill/>
            <w14:prstDash w14:val="solid"/>
            <w14:bevel/>
          </w14:textOutline>
        </w:rPr>
        <w:t xml:space="preserve">, θα παρουσιαστούν τα αποτελέσματα της μεθοδολογίας, και μια αναφορά στις μεταβολές σημαντικών οικονομικών δεικτών του δείγματος. Η εν λόγω εργασία κλείνει με το Κεφάλαιο </w:t>
      </w:r>
      <w:r w:rsidR="00C33FE5" w:rsidRPr="000527B5">
        <w:rPr>
          <w:rFonts w:eastAsia="Arial Unicode MS"/>
          <w:color w:val="000000"/>
          <w:szCs w:val="26"/>
          <w:bdr w:val="nil"/>
          <w:lang w:val="el-GR"/>
          <w14:textOutline w14:w="0" w14:cap="flat" w14:cmpd="sng" w14:algn="ctr">
            <w14:noFill/>
            <w14:prstDash w14:val="solid"/>
            <w14:bevel/>
          </w14:textOutline>
        </w:rPr>
        <w:t>5</w:t>
      </w:r>
      <w:r w:rsidRPr="008275EC">
        <w:rPr>
          <w:rFonts w:eastAsia="Arial Unicode MS"/>
          <w:color w:val="000000"/>
          <w:szCs w:val="26"/>
          <w:bdr w:val="nil"/>
          <w:lang w:val="el-GR"/>
          <w14:textOutline w14:w="0" w14:cap="flat" w14:cmpd="sng" w14:algn="ctr">
            <w14:noFill/>
            <w14:prstDash w14:val="solid"/>
            <w14:bevel/>
          </w14:textOutline>
        </w:rPr>
        <w:t>, με τα συμπεράσματα επί της ανάλυσης και με προτάσεις για μελλοντικές έρευνες.</w:t>
      </w:r>
    </w:p>
    <w:p w14:paraId="6A6A6DAD" w14:textId="4412A38C" w:rsidR="00B454B7" w:rsidRPr="001B0BAE" w:rsidRDefault="00B454B7" w:rsidP="00123642">
      <w:pPr>
        <w:rPr>
          <w:lang w:val="el-GR"/>
        </w:rPr>
      </w:pPr>
    </w:p>
    <w:p w14:paraId="0FFE792A" w14:textId="77777777" w:rsidR="00551752" w:rsidRDefault="00B454B7" w:rsidP="00BC0097">
      <w:pPr>
        <w:rPr>
          <w:lang w:val="el-GR"/>
        </w:rPr>
      </w:pPr>
      <w:r w:rsidRPr="001B0BAE">
        <w:rPr>
          <w:lang w:val="el-GR"/>
        </w:rPr>
        <w:br w:type="page"/>
      </w:r>
    </w:p>
    <w:p w14:paraId="307B08A4" w14:textId="14E24B2C" w:rsidR="00551752" w:rsidRDefault="000527B5" w:rsidP="00C57997">
      <w:pPr>
        <w:pStyle w:val="1"/>
      </w:pPr>
      <w:bookmarkStart w:id="27" w:name="_Toc443485433"/>
      <w:r>
        <w:lastRenderedPageBreak/>
        <w:t xml:space="preserve">ΚΕΦΑΛΑΙΟ </w:t>
      </w:r>
      <w:r>
        <w:rPr>
          <w:lang w:val="en-US"/>
        </w:rPr>
        <w:t>II</w:t>
      </w:r>
      <w:r w:rsidRPr="002E7AE8">
        <w:t xml:space="preserve"> -</w:t>
      </w:r>
      <w:r w:rsidR="008275EC">
        <w:t xml:space="preserve"> </w:t>
      </w:r>
      <w:r w:rsidR="00551752" w:rsidRPr="00551752">
        <w:t>ΑΝΑΣΚΟΠΗΣΗ ΒΙΒΛΙΟΓΡΑΦΙΑΣ</w:t>
      </w:r>
      <w:bookmarkEnd w:id="27"/>
      <w:r w:rsidR="00551752" w:rsidRPr="00551752">
        <w:t xml:space="preserve"> </w:t>
      </w:r>
    </w:p>
    <w:p w14:paraId="5C625001" w14:textId="77777777" w:rsidR="000527B5" w:rsidRDefault="008275EC" w:rsidP="000527B5">
      <w:pPr>
        <w:pBdr>
          <w:top w:val="nil"/>
          <w:left w:val="nil"/>
          <w:bottom w:val="nil"/>
          <w:right w:val="nil"/>
          <w:between w:val="nil"/>
          <w:bar w:val="nil"/>
        </w:pBdr>
        <w:spacing w:before="200" w:after="200"/>
        <w:ind w:right="278" w:firstLine="709"/>
        <w:rPr>
          <w:rFonts w:eastAsia="Arial Unicode MS"/>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Οι επιπτώσεις της χρηματοοικονομικής απόδοσης στις αποδόσεις των τιμών των μετοχών των οργανισμών αποτελεί παράγοντα ζωτικής σημασίας για την αποδοτική λειτουργία των οργανισμών. Ακόμη, αποτελεί ζωτικής σημασίας σχέση για τους επενδυτές, καθώς ξέροντας πως η πορεία των οργανισμών μπορεί να επηρεάσει τις τιμές των μετοχών, θα μπορούσαν να προβλέψουν την πορεία αυτών των τιμών. Εξαιτίας, λοιπόν, της σημαντικότητα αυτών των επιπτώσεων, πολλοί ακαδημαϊκοί ερευνητές έχουν μελετήσει τη σχέση μεταξύ της χρηματοοικονομικής απόδοσης των οργανισμών με τις αποδόσεις των τιμών των μετοχών των οργανισμών αυτών. </w:t>
      </w:r>
    </w:p>
    <w:p w14:paraId="53198BE7" w14:textId="311A635A" w:rsidR="008275EC" w:rsidRPr="008275EC" w:rsidRDefault="008275EC" w:rsidP="000527B5">
      <w:pPr>
        <w:pBdr>
          <w:top w:val="nil"/>
          <w:left w:val="nil"/>
          <w:bottom w:val="nil"/>
          <w:right w:val="nil"/>
          <w:between w:val="nil"/>
          <w:bar w:val="nil"/>
        </w:pBdr>
        <w:spacing w:before="200" w:after="200"/>
        <w:ind w:right="278" w:firstLine="709"/>
        <w:rPr>
          <w:rFonts w:eastAsia="Arial Unicode MS"/>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Ορισμένες από τις μελέτες επικεντρώνονται στο σύνολο των οργανισμών που υπάρχουν σε μια αγορά</w:t>
      </w:r>
      <w:r w:rsidRPr="008275EC">
        <w:rPr>
          <w:color w:val="000000"/>
          <w:szCs w:val="24"/>
          <w:bdr w:val="nil"/>
          <w:vertAlign w:val="superscript"/>
          <w14:textOutline w14:w="0" w14:cap="flat" w14:cmpd="sng" w14:algn="ctr">
            <w14:noFill/>
            <w14:prstDash w14:val="solid"/>
            <w14:bevel/>
          </w14:textOutline>
        </w:rPr>
        <w:footnoteReference w:id="1"/>
      </w:r>
      <w:r w:rsidRPr="008275EC">
        <w:rPr>
          <w:rFonts w:eastAsia="Arial Unicode MS"/>
          <w:color w:val="000000"/>
          <w:szCs w:val="24"/>
          <w:bdr w:val="nil"/>
          <w:lang w:val="el-GR"/>
          <w14:textOutline w14:w="0" w14:cap="flat" w14:cmpd="sng" w14:algn="ctr">
            <w14:noFill/>
            <w14:prstDash w14:val="solid"/>
            <w14:bevel/>
          </w14:textOutline>
        </w:rPr>
        <w:t xml:space="preserve">. Άλλες μελέτες επικεντρώνονται σε έναν συγκεκριμένο κλάδο μιας αγοράς (για παράδειγμα, κλάδος πετρελαίου και φυσικού αερίου, κλάδος μηχανημάτων και βαρέως εξοπλισμού, χρηματοπιστωτικός κλάδος). Ωστόσο, παρά τις διαφορετικές μελέτες, τις διάφορες αγορές, τους διαφορετικούς κλάδους και τις διάφορες εξεταζόμενες χρονικές περιόδους, η πλειοψηφία των ακαδημαϊκών μελετών καταλήγει στο συμπέρασμα ότι υπάρχει ένας βαθμός συσχέτισης μεταξύ της χρηματοοικονομικής απόδοσης και της απόδοσης των τιμών των μετοχών ενός οργανισμού. </w:t>
      </w:r>
    </w:p>
    <w:p w14:paraId="1618EDD8" w14:textId="77777777" w:rsidR="008275EC" w:rsidRPr="008275EC" w:rsidRDefault="008275EC" w:rsidP="008275EC">
      <w:pPr>
        <w:pBdr>
          <w:top w:val="nil"/>
          <w:left w:val="nil"/>
          <w:bottom w:val="nil"/>
          <w:right w:val="nil"/>
          <w:between w:val="nil"/>
          <w:bar w:val="nil"/>
        </w:pBdr>
        <w:spacing w:before="200" w:after="200"/>
        <w:ind w:right="278" w:firstLine="0"/>
        <w:rPr>
          <w:rFonts w:eastAsia="Arial Unicode MS"/>
          <w:b/>
          <w:bCs/>
          <w:color w:val="000000"/>
          <w:szCs w:val="24"/>
          <w:bdr w:val="nil"/>
          <w:lang w:val="el-GR"/>
          <w14:textOutline w14:w="0" w14:cap="flat" w14:cmpd="sng" w14:algn="ctr">
            <w14:noFill/>
            <w14:prstDash w14:val="solid"/>
            <w14:bevel/>
          </w14:textOutline>
        </w:rPr>
      </w:pPr>
    </w:p>
    <w:p w14:paraId="5569318A" w14:textId="321D07FB" w:rsidR="008275EC" w:rsidRPr="008275EC" w:rsidRDefault="00F070A6" w:rsidP="000527B5">
      <w:pPr>
        <w:pBdr>
          <w:top w:val="nil"/>
          <w:left w:val="nil"/>
          <w:bottom w:val="nil"/>
          <w:right w:val="nil"/>
          <w:between w:val="nil"/>
          <w:bar w:val="nil"/>
        </w:pBdr>
        <w:spacing w:before="200" w:after="200"/>
        <w:ind w:right="278" w:firstLine="0"/>
        <w:jc w:val="center"/>
        <w:rPr>
          <w:rFonts w:eastAsia="Arial Unicode MS"/>
          <w:b/>
          <w:bCs/>
          <w:color w:val="000000"/>
          <w:szCs w:val="24"/>
          <w:bdr w:val="nil"/>
          <w:lang w:val="el-GR"/>
          <w14:textOutline w14:w="0" w14:cap="flat" w14:cmpd="sng" w14:algn="ctr">
            <w14:noFill/>
            <w14:prstDash w14:val="solid"/>
            <w14:bevel/>
          </w14:textOutline>
        </w:rPr>
      </w:pPr>
      <w:r w:rsidRPr="000527B5">
        <w:rPr>
          <w:rFonts w:eastAsia="Arial Unicode MS"/>
          <w:b/>
          <w:bCs/>
          <w:color w:val="000000"/>
          <w:szCs w:val="24"/>
          <w:bdr w:val="nil"/>
          <w:lang w:val="el-GR"/>
          <w14:textOutline w14:w="0" w14:cap="flat" w14:cmpd="sng" w14:algn="ctr">
            <w14:noFill/>
            <w14:prstDash w14:val="solid"/>
            <w14:bevel/>
          </w14:textOutline>
        </w:rPr>
        <w:t>2</w:t>
      </w:r>
      <w:r w:rsidR="008275EC" w:rsidRPr="008275EC">
        <w:rPr>
          <w:rFonts w:eastAsia="Arial Unicode MS"/>
          <w:b/>
          <w:bCs/>
          <w:color w:val="000000"/>
          <w:szCs w:val="24"/>
          <w:bdr w:val="nil"/>
          <w:lang w:val="el-GR"/>
          <w14:textOutline w14:w="0" w14:cap="flat" w14:cmpd="sng" w14:algn="ctr">
            <w14:noFill/>
            <w14:prstDash w14:val="solid"/>
            <w14:bevel/>
          </w14:textOutline>
        </w:rPr>
        <w:t xml:space="preserve">.1. </w:t>
      </w:r>
      <w:bookmarkStart w:id="28" w:name="_Hlk84621436"/>
      <w:r w:rsidR="008275EC" w:rsidRPr="008275EC">
        <w:rPr>
          <w:rFonts w:eastAsia="Arial Unicode MS"/>
          <w:b/>
          <w:bCs/>
          <w:color w:val="000000"/>
          <w:szCs w:val="24"/>
          <w:bdr w:val="nil"/>
          <w:lang w:val="el-GR"/>
          <w14:textOutline w14:w="0" w14:cap="flat" w14:cmpd="sng" w14:algn="ctr">
            <w14:noFill/>
            <w14:prstDash w14:val="solid"/>
            <w14:bevel/>
          </w14:textOutline>
        </w:rPr>
        <w:t>ΣΧΕΤΙΚΕΣ ΒΙΒΛΙΟΓΡΑΦΙΚΕΣ ΑΝΑΦΟΡΕΣ</w:t>
      </w:r>
      <w:bookmarkEnd w:id="28"/>
    </w:p>
    <w:p w14:paraId="17EE0FBE" w14:textId="08447608"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Οι </w:t>
      </w:r>
      <w:r w:rsidRPr="008275EC">
        <w:rPr>
          <w:rFonts w:eastAsia="Arial Unicode MS"/>
          <w:color w:val="000000"/>
          <w:szCs w:val="24"/>
          <w:bdr w:val="nil"/>
          <w14:textOutline w14:w="0" w14:cap="flat" w14:cmpd="sng" w14:algn="ctr">
            <w14:noFill/>
            <w14:prstDash w14:val="solid"/>
            <w14:bevel/>
          </w14:textOutline>
        </w:rPr>
        <w:t>Patra</w:t>
      </w:r>
      <w:r w:rsidRPr="008275EC">
        <w:rPr>
          <w:rFonts w:eastAsia="Arial Unicode MS"/>
          <w:color w:val="000000"/>
          <w:szCs w:val="24"/>
          <w:bdr w:val="nil"/>
          <w:lang w:val="el-GR"/>
          <w14:textOutline w14:w="0" w14:cap="flat" w14:cmpd="sng" w14:algn="ctr">
            <w14:noFill/>
            <w14:prstDash w14:val="solid"/>
            <w14:bevel/>
          </w14:textOutline>
        </w:rPr>
        <w:t xml:space="preserve"> </w:t>
      </w:r>
      <w:r w:rsidR="000527B5">
        <w:rPr>
          <w:rFonts w:eastAsia="Arial Unicode MS"/>
          <w:color w:val="000000"/>
          <w:szCs w:val="24"/>
          <w:bdr w:val="nil"/>
          <w:lang w:val="el-GR"/>
          <w14:textOutline w14:w="0" w14:cap="flat" w14:cmpd="sng" w14:algn="ctr">
            <w14:noFill/>
            <w14:prstDash w14:val="solid"/>
            <w14:bevel/>
          </w14:textOutline>
        </w:rPr>
        <w:t>και</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nl-NL"/>
          <w14:textOutline w14:w="0" w14:cap="flat" w14:cmpd="sng" w14:algn="ctr">
            <w14:noFill/>
            <w14:prstDash w14:val="solid"/>
            <w14:bevel/>
          </w14:textOutline>
        </w:rPr>
        <w:t xml:space="preserve">Poshakwale (2006) </w:t>
      </w:r>
      <w:r w:rsidRPr="008275EC">
        <w:rPr>
          <w:rFonts w:eastAsia="Arial Unicode MS"/>
          <w:color w:val="000000"/>
          <w:szCs w:val="24"/>
          <w:bdr w:val="nil"/>
          <w:lang w:val="el-GR"/>
          <w14:textOutline w14:w="0" w14:cap="flat" w14:cmpd="sng" w14:algn="ctr">
            <w14:noFill/>
            <w14:prstDash w14:val="solid"/>
            <w14:bevel/>
          </w14:textOutline>
        </w:rPr>
        <w:t xml:space="preserve">εξέτασαν τη σχέση μεταξύ των μακροοικονομικών παραγόντων, του όγκου συναλλαγών, και των αποδόσεων των τιμών των μετοχών. Ως δείγμα πήραν τους οργανισμούς που ήταν εισηγμένοι στο Χρηματιστήριο Αθηνών μεταξύ των ετών 1990 και 1999. Οι </w:t>
      </w:r>
      <w:r w:rsidRPr="008275EC">
        <w:rPr>
          <w:rFonts w:eastAsia="Arial Unicode MS"/>
          <w:color w:val="000000"/>
          <w:szCs w:val="24"/>
          <w:bdr w:val="nil"/>
          <w14:textOutline w14:w="0" w14:cap="flat" w14:cmpd="sng" w14:algn="ctr">
            <w14:noFill/>
            <w14:prstDash w14:val="solid"/>
            <w14:bevel/>
          </w14:textOutline>
        </w:rPr>
        <w:t>Patra</w:t>
      </w:r>
      <w:r w:rsidRPr="008275EC">
        <w:rPr>
          <w:rFonts w:eastAsia="Arial Unicode MS"/>
          <w:color w:val="000000"/>
          <w:szCs w:val="24"/>
          <w:bdr w:val="nil"/>
          <w:lang w:val="el-GR"/>
          <w14:textOutline w14:w="0" w14:cap="flat" w14:cmpd="sng" w14:algn="ctr">
            <w14:noFill/>
            <w14:prstDash w14:val="solid"/>
            <w14:bevel/>
          </w14:textOutline>
        </w:rPr>
        <w:t xml:space="preserve"> και </w:t>
      </w:r>
      <w:r w:rsidRPr="008275EC">
        <w:rPr>
          <w:rFonts w:eastAsia="Arial Unicode MS"/>
          <w:color w:val="000000"/>
          <w:szCs w:val="24"/>
          <w:bdr w:val="nil"/>
          <w:lang w:val="nl-NL"/>
          <w14:textOutline w14:w="0" w14:cap="flat" w14:cmpd="sng" w14:algn="ctr">
            <w14:noFill/>
            <w14:prstDash w14:val="solid"/>
            <w14:bevel/>
          </w14:textOutline>
        </w:rPr>
        <w:t xml:space="preserve">Poshakwale (2006) </w:t>
      </w:r>
      <w:r w:rsidRPr="008275EC">
        <w:rPr>
          <w:rFonts w:eastAsia="Arial Unicode MS"/>
          <w:color w:val="000000"/>
          <w:szCs w:val="24"/>
          <w:bdr w:val="nil"/>
          <w:lang w:val="el-GR"/>
          <w14:textOutline w14:w="0" w14:cap="flat" w14:cmpd="sng" w14:algn="ctr">
            <w14:noFill/>
            <w14:prstDash w14:val="solid"/>
            <w14:bevel/>
          </w14:textOutline>
        </w:rPr>
        <w:t>βρήκαν συσχέτιση μεταξύ του πληθωρισμού, της προσφοράς χρήματος και του όγκου συναλλαγών με τις αποδόσεις των τιμών των μετοχών. Από την άλλη, δεν βρήκαν οποιαδήποτε συσχέτιση μεταξύ των ισοτιμιών και των αποδόσεων των τιμών των μετοχών.</w:t>
      </w:r>
    </w:p>
    <w:p w14:paraId="0D2C9C30" w14:textId="77777777"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lastRenderedPageBreak/>
        <w:t xml:space="preserve">Ο </w:t>
      </w:r>
      <w:r w:rsidRPr="008275EC">
        <w:rPr>
          <w:rFonts w:eastAsia="Arial Unicode MS"/>
          <w:color w:val="000000"/>
          <w:szCs w:val="24"/>
          <w:bdr w:val="nil"/>
          <w14:textOutline w14:w="0" w14:cap="flat" w14:cmpd="sng" w14:algn="ctr">
            <w14:noFill/>
            <w14:prstDash w14:val="solid"/>
            <w14:bevel/>
          </w14:textOutline>
        </w:rPr>
        <w:t>Saleh</w:t>
      </w:r>
      <w:r w:rsidRPr="008275EC">
        <w:rPr>
          <w:rFonts w:eastAsia="Arial Unicode MS"/>
          <w:color w:val="000000"/>
          <w:szCs w:val="24"/>
          <w:bdr w:val="nil"/>
          <w:lang w:val="el-GR"/>
          <w14:textOutline w14:w="0" w14:cap="flat" w14:cmpd="sng" w14:algn="ctr">
            <w14:noFill/>
            <w14:prstDash w14:val="solid"/>
            <w14:bevel/>
          </w14:textOutline>
        </w:rPr>
        <w:t xml:space="preserve"> (2015) εξέτασε την επίδραση που είχαν σημαντικοί χρηματοοικονομικοί δείκτες στις αποδόσεις των τιμών των μετοχών των οργανισμών. Για τους σκοπούς της ανάλυσης του, πήρε ένα δείγμα από 10 οργανισμούς, που ανήκαν στον τομέα του πετρελαίου και του φυσικού αερίου, και ήταν εισηγμένοι στο Χρηματιστήριο του Καράτσι, Πακιστάν. Χρησιμοποίησε δευτερογενή δεδομένα</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για μια περίοδο πέντε ετών, από το 2010 έως το 2014, και ανέλυσε χρηματοοικονομικούς δείκτες, όπως ο δείκτης καθαρού περιθωρίου κέρδους, </w:t>
      </w:r>
      <w:bookmarkStart w:id="29" w:name="_Hlk85370276"/>
      <w:r w:rsidRPr="008275EC">
        <w:rPr>
          <w:rFonts w:eastAsia="Arial Unicode MS"/>
          <w:color w:val="000000"/>
          <w:szCs w:val="24"/>
          <w:bdr w:val="nil"/>
          <w:lang w:val="el-GR"/>
          <w14:textOutline w14:w="0" w14:cap="flat" w14:cmpd="sng" w14:algn="ctr">
            <w14:noFill/>
            <w14:prstDash w14:val="solid"/>
            <w14:bevel/>
          </w14:textOutline>
        </w:rPr>
        <w:t xml:space="preserve">ο δείκτης απόδοσης περιουσιακών στοιχείων </w:t>
      </w:r>
      <w:bookmarkEnd w:id="29"/>
      <w:r w:rsidRPr="008275EC">
        <w:rPr>
          <w:rFonts w:eastAsia="Arial Unicode MS"/>
          <w:color w:val="000000"/>
          <w:szCs w:val="24"/>
          <w:bdr w:val="nil"/>
          <w:lang w:val="el-GR"/>
          <w14:textOutline w14:w="0" w14:cap="flat" w14:cmpd="sng" w14:algn="ctr">
            <w14:noFill/>
            <w14:prstDash w14:val="solid"/>
            <w14:bevel/>
          </w14:textOutline>
        </w:rPr>
        <w:t>και ο δείκτης απόδοσης ιδίων κεφαλαίων</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Ο </w:t>
      </w:r>
      <w:r w:rsidRPr="008275EC">
        <w:rPr>
          <w:rFonts w:eastAsia="Arial Unicode MS"/>
          <w:color w:val="000000"/>
          <w:szCs w:val="24"/>
          <w:bdr w:val="nil"/>
          <w14:textOutline w14:w="0" w14:cap="flat" w14:cmpd="sng" w14:algn="ctr">
            <w14:noFill/>
            <w14:prstDash w14:val="solid"/>
            <w14:bevel/>
          </w14:textOutline>
        </w:rPr>
        <w:t>Saleh</w:t>
      </w:r>
      <w:r w:rsidRPr="008275EC">
        <w:rPr>
          <w:rFonts w:eastAsia="Arial Unicode MS"/>
          <w:color w:val="000000"/>
          <w:szCs w:val="24"/>
          <w:bdr w:val="nil"/>
          <w:lang w:val="el-GR"/>
          <w14:textOutline w14:w="0" w14:cap="flat" w14:cmpd="sng" w14:algn="ctr">
            <w14:noFill/>
            <w14:prstDash w14:val="solid"/>
            <w14:bevel/>
          </w14:textOutline>
        </w:rPr>
        <w:t xml:space="preserve"> (2015) κατέληξε στο συμπέρασμα ότι οι αποδόσεις των χρηματοοικονομικών δεικτών των οργανισμών του κλάδου του πετρελαίου και του φυσικού αερίου του Πακιστάν σχετίζονται στενά με τις αποδόσεις των τιμών των μετοχών τους.</w:t>
      </w:r>
    </w:p>
    <w:p w14:paraId="0073649D" w14:textId="77777777"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Ομοίως, ο </w:t>
      </w:r>
      <w:r w:rsidRPr="008275EC">
        <w:rPr>
          <w:rFonts w:eastAsia="Arial Unicode MS"/>
          <w:color w:val="000000"/>
          <w:szCs w:val="24"/>
          <w:bdr w:val="nil"/>
          <w14:textOutline w14:w="0" w14:cap="flat" w14:cmpd="sng" w14:algn="ctr">
            <w14:noFill/>
            <w14:prstDash w14:val="solid"/>
            <w14:bevel/>
          </w14:textOutline>
        </w:rPr>
        <w:t>Ndirangu</w:t>
      </w:r>
      <w:r w:rsidRPr="008275EC">
        <w:rPr>
          <w:rFonts w:eastAsia="Arial Unicode MS"/>
          <w:color w:val="000000"/>
          <w:szCs w:val="24"/>
          <w:bdr w:val="nil"/>
          <w:lang w:val="el-GR"/>
          <w14:textOutline w14:w="0" w14:cap="flat" w14:cmpd="sng" w14:algn="ctr">
            <w14:noFill/>
            <w14:prstDash w14:val="solid"/>
            <w14:bevel/>
          </w14:textOutline>
        </w:rPr>
        <w:t xml:space="preserve"> (2016) ανέλυσε τη σχέση μεταξύ της χρηματοοικονομικής απόδοσης και των αποδόσεων των τιμών των μετοχών για 67 οργανισμούς, εισηγμένους στο Χρηματιστήριο Αξιών του Ναϊρόμπι, Κένυα. Ο συγγραφέας χρησιμοποίησε δευτερογενή δεδομένα, και εφάρμοσε εκτιμήσεις ελαχίστων τετραγώνων, για μια χρονική περίοδο μεταξύ 2011 και 2015. Ο </w:t>
      </w:r>
      <w:r w:rsidRPr="008275EC">
        <w:rPr>
          <w:rFonts w:eastAsia="Arial Unicode MS"/>
          <w:color w:val="000000"/>
          <w:szCs w:val="24"/>
          <w:bdr w:val="nil"/>
          <w14:textOutline w14:w="0" w14:cap="flat" w14:cmpd="sng" w14:algn="ctr">
            <w14:noFill/>
            <w14:prstDash w14:val="solid"/>
            <w14:bevel/>
          </w14:textOutline>
        </w:rPr>
        <w:t>Ndirangu</w:t>
      </w:r>
      <w:r w:rsidRPr="008275EC">
        <w:rPr>
          <w:rFonts w:eastAsia="Arial Unicode MS"/>
          <w:color w:val="000000"/>
          <w:szCs w:val="24"/>
          <w:bdr w:val="nil"/>
          <w:lang w:val="el-GR"/>
          <w14:textOutline w14:w="0" w14:cap="flat" w14:cmpd="sng" w14:algn="ctr">
            <w14:noFill/>
            <w14:prstDash w14:val="solid"/>
            <w14:bevel/>
          </w14:textOutline>
        </w:rPr>
        <w:t xml:space="preserve"> (2016) διαπίστωσε ότι υπήρχε μια άμεση, σημαντική, θετική συσχέτιση μεταξύ της χρηματοοικονομικής απόδοσης ενός οργανισμού και των αποδόσεων των  τιμών των μετοχών του. Ο συγγραφέας ανέφερε ότι εάν η χρηματοοικονομική απόδοση ενός οργανισμού βελτιωθεί, τότε αναμένεται ότι θα αυξηθεί και η τιμή της μετοχής του οργανισμού. </w:t>
      </w:r>
    </w:p>
    <w:p w14:paraId="5EF02D39" w14:textId="77777777"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Την ίδια χρονιά, ο</w:t>
      </w:r>
      <w:r w:rsidRPr="008275EC">
        <w:rPr>
          <w:rFonts w:eastAsia="Arial Unicode MS"/>
          <w:color w:val="000000"/>
          <w:szCs w:val="24"/>
          <w:bdr w:val="nil"/>
          <w:lang w:val="nl-NL"/>
          <w14:textOutline w14:w="0" w14:cap="flat" w14:cmpd="sng" w14:algn="ctr">
            <w14:noFill/>
            <w14:prstDash w14:val="solid"/>
            <w14:bevel/>
          </w14:textOutline>
        </w:rPr>
        <w:t xml:space="preserve"> Anwaar (2016) </w:t>
      </w:r>
      <w:r w:rsidRPr="008275EC">
        <w:rPr>
          <w:rFonts w:eastAsia="Arial Unicode MS"/>
          <w:color w:val="000000"/>
          <w:szCs w:val="24"/>
          <w:bdr w:val="nil"/>
          <w:lang w:val="el-GR"/>
          <w14:textOutline w14:w="0" w14:cap="flat" w14:cmpd="sng" w14:algn="ctr">
            <w14:noFill/>
            <w14:prstDash w14:val="solid"/>
            <w14:bevel/>
          </w14:textOutline>
        </w:rPr>
        <w:t xml:space="preserve">εξέτασε την επίδραση της χρηματοοικονομικής απόδοση των οργανισμών και των αποδόσεων των τιμών των μετοχών τους. Για τους σκοπούς της έρευνας, ο συγγραφέας πήρε ένα δείγμα 30 οργανισμών, εισηγμένων στο χρηματιστήριο του Λονδίνου, </w:t>
      </w:r>
      <w:r w:rsidRPr="008275EC">
        <w:rPr>
          <w:rFonts w:eastAsia="Arial Unicode MS"/>
          <w:color w:val="000000"/>
          <w:szCs w:val="24"/>
          <w:bdr w:val="nil"/>
          <w:lang w:val="de-DE"/>
          <w14:textOutline w14:w="0" w14:cap="flat" w14:cmpd="sng" w14:algn="ctr">
            <w14:noFill/>
            <w14:prstDash w14:val="solid"/>
            <w14:bevel/>
          </w14:textOutline>
        </w:rPr>
        <w:t>FTSE-10</w:t>
      </w:r>
      <w:r w:rsidRPr="008275EC">
        <w:rPr>
          <w:rFonts w:eastAsia="Arial Unicode MS"/>
          <w:color w:val="000000"/>
          <w:szCs w:val="24"/>
          <w:bdr w:val="nil"/>
          <w:lang w:val="el-GR"/>
          <w14:textOutline w14:w="0" w14:cap="flat" w14:cmpd="sng" w14:algn="ctr">
            <w14:noFill/>
            <w14:prstDash w14:val="solid"/>
            <w14:bevel/>
          </w14:textOutline>
        </w:rPr>
        <w:t xml:space="preserve">0. Επίσης, ο συγγραφέας χρησιμοποίησε  δευτερογενή δεδομένα, για χρονικό διάστημα 10 ετών (από το 2005 έως το 2014). Οι χρηματοοικονομικοί δείκτες που αναλύθηκαν ήταν τα κέρδη ανά μετοχή, ο δείκτης άμεσης ρευστότητας, ο δείκτης απόδοσης περιουσιακών στοιχείων, ο δείκτης απόδοσης ιδίων κεφαλαίων, ο δείκτης απόδοσης της επένδυσης και ο δείκτης καθαρού περιθωρίου κέρδους. Ο </w:t>
      </w:r>
      <w:r w:rsidRPr="008275EC">
        <w:rPr>
          <w:rFonts w:eastAsia="Arial Unicode MS"/>
          <w:color w:val="000000"/>
          <w:szCs w:val="24"/>
          <w:bdr w:val="nil"/>
          <w:lang w:val="nl-NL"/>
          <w14:textOutline w14:w="0" w14:cap="flat" w14:cmpd="sng" w14:algn="ctr">
            <w14:noFill/>
            <w14:prstDash w14:val="solid"/>
            <w14:bevel/>
          </w14:textOutline>
        </w:rPr>
        <w:t xml:space="preserve">Anwaar (2016) </w:t>
      </w:r>
      <w:r w:rsidRPr="008275EC">
        <w:rPr>
          <w:rFonts w:eastAsia="Arial Unicode MS"/>
          <w:color w:val="000000"/>
          <w:szCs w:val="24"/>
          <w:bdr w:val="nil"/>
          <w:lang w:val="el-GR"/>
          <w14:textOutline w14:w="0" w14:cap="flat" w14:cmpd="sng" w14:algn="ctr">
            <w14:noFill/>
            <w14:prstDash w14:val="solid"/>
            <w14:bevel/>
          </w14:textOutline>
        </w:rPr>
        <w:t xml:space="preserve">κατέληξε στο συμπέρασμα ότι οι χρηματοοικονομικοί δείκτες του καθαρού περιθωρίου κέρδους και της απόδοσης της επένδυσης είχαν σημαντική, θετική επίδραση στις αποδόσεις των τιμών των μετοχών των οργανισμών. Από την άλλη μεριά, ο δείκτης των κερδών ανά </w:t>
      </w:r>
      <w:r w:rsidRPr="008275EC">
        <w:rPr>
          <w:rFonts w:eastAsia="Arial Unicode MS"/>
          <w:color w:val="000000"/>
          <w:szCs w:val="24"/>
          <w:bdr w:val="nil"/>
          <w:lang w:val="el-GR"/>
          <w14:textOutline w14:w="0" w14:cap="flat" w14:cmpd="sng" w14:algn="ctr">
            <w14:noFill/>
            <w14:prstDash w14:val="solid"/>
            <w14:bevel/>
          </w14:textOutline>
        </w:rPr>
        <w:lastRenderedPageBreak/>
        <w:t>μετοχή είχε σημαντική, αλλά αρνητική επίδραση. Ο συγγραφέας κατέληξε στο συμπέρασμα ότι οι χρηματοοικονομικοί δείκτες της απόδοσης των ιδίων κεφαλαίων και της άμεσης ρευστότητας είχαν ασήμαντη επίδραση στις αποδόσεις των τιμών μετοχών ενός οργανισμού.</w:t>
      </w:r>
    </w:p>
    <w:p w14:paraId="57A9019C" w14:textId="77777777"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Σε πιο πρόσφατες μελέτες, οι </w:t>
      </w:r>
      <w:r w:rsidRPr="008275EC">
        <w:rPr>
          <w:rFonts w:eastAsia="Arial Unicode MS"/>
          <w:color w:val="000000"/>
          <w:szCs w:val="24"/>
          <w:bdr w:val="nil"/>
          <w14:textOutline w14:w="0" w14:cap="flat" w14:cmpd="sng" w14:algn="ctr">
            <w14:noFill/>
            <w14:prstDash w14:val="solid"/>
            <w14:bevel/>
          </w14:textOutline>
        </w:rPr>
        <w:t>Rengaraju</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(2020) επικεντρώθηκαν στη σχέση μεταξύ της χρηματοοικονομικής απόδοσης και των αποδόσεων των τιμών των μετοχών. Για τους σκοπούς της έρευνας τους, χρησιμοποίησαν δευτερογενή δεδομένα για πέντε χρόνια (από το 2015 έως το 2019) για τους οργανισμούς που ήταν εισηγμένοι στο Χρηματιστήριο της Βομβάη, Ινδία. Ανέλυσαν δείκτες χρηματοοικονομικής απόδοσης, όπως δείκτες κερδοφορίας, δείκτες ρευστότητας και δείκτες οικονομικής ανάπτυξης. Όπως προηγούμενοι ερευνητές, έτσι και οι </w:t>
      </w:r>
      <w:r w:rsidRPr="008275EC">
        <w:rPr>
          <w:rFonts w:eastAsia="Arial Unicode MS"/>
          <w:color w:val="000000"/>
          <w:szCs w:val="24"/>
          <w:bdr w:val="nil"/>
          <w14:textOutline w14:w="0" w14:cap="flat" w14:cmpd="sng" w14:algn="ctr">
            <w14:noFill/>
            <w14:prstDash w14:val="solid"/>
            <w14:bevel/>
          </w14:textOutline>
        </w:rPr>
        <w:t>Rengaraju</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(2020) κατέληξαν στο συμπέρασμα ότι υπήρχε μια θετική, άμεση συσχέτιση μεταξύ της χρηματοοικονομικής απόδοσης ενός οργανισμού και των αποδόσεων των τιμών των μετοχών του.</w:t>
      </w:r>
    </w:p>
    <w:p w14:paraId="7C2A79BD" w14:textId="77777777"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Αντίστοιχα με τους προηγούμενους ερευνητές, οι </w:t>
      </w:r>
      <w:r w:rsidRPr="008275EC">
        <w:rPr>
          <w:rFonts w:eastAsia="Arial Unicode MS"/>
          <w:color w:val="000000"/>
          <w:szCs w:val="24"/>
          <w:bdr w:val="nil"/>
          <w14:textOutline w14:w="0" w14:cap="flat" w14:cmpd="sng" w14:algn="ctr">
            <w14:noFill/>
            <w14:prstDash w14:val="solid"/>
            <w14:bevel/>
          </w14:textOutline>
        </w:rPr>
        <w:t>Razak</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(2020) εξέτασαν τον αντίκτυπο που είχαν σημαντικοί χρηματοοικονομικοί δείκτες στις αποδόσεις των τιμών των μετοχών, σε οργανισμούς του κλάδου βαρέως εξοπλισμού και μηχανημάτων, εισηγμένων στο Χρηματιστήριο της Ινδονησίας. Το δείγμα των συγγραφέων αποτελούνταν από τρεις οργανισμούς, για χρονική περίοδο πέντε ετών (από το 2014 έως το 2018). Χρησιμοποιήθηκαν δευτερογενή δεδομένα. Υπολογίστηκαν και εκτιμήθηκαν οι χρηματοοικονομικοί δείκτες του συνόλου του κύκλου εργασιών, της απόδοση των περιουσιακών στοιχείων και του λόγου χρέους προς ίδια κεφάλαια. Σε αντίθεση με τους άλλους συγγραφείς, οι </w:t>
      </w:r>
      <w:r w:rsidRPr="008275EC">
        <w:rPr>
          <w:rFonts w:eastAsia="Arial Unicode MS"/>
          <w:color w:val="000000"/>
          <w:szCs w:val="24"/>
          <w:bdr w:val="nil"/>
          <w14:textOutline w14:w="0" w14:cap="flat" w14:cmpd="sng" w14:algn="ctr">
            <w14:noFill/>
            <w14:prstDash w14:val="solid"/>
            <w14:bevel/>
          </w14:textOutline>
        </w:rPr>
        <w:t>Razak</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(2020) ανέφεραν ότι οι αποδόσεις των χρηματοοικονομικών δεικτών δεν είχαν σημαντικό αντίκτυπο στις αποδόσεις των τιμών των μετοχών ενός οργανισμού. </w:t>
      </w:r>
    </w:p>
    <w:p w14:paraId="7843ED4C" w14:textId="77777777"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Συνεχίζοντας, επικεντρωνόμενοι στον χρηματοπιστωτικό κλάδο, οι </w:t>
      </w:r>
      <w:r w:rsidRPr="008275EC">
        <w:rPr>
          <w:rFonts w:eastAsia="Arial Unicode MS"/>
          <w:color w:val="000000"/>
          <w:szCs w:val="24"/>
          <w:bdr w:val="nil"/>
          <w:lang w:val="nl-NL"/>
          <w14:textOutline w14:w="0" w14:cap="flat" w14:cmpd="sng" w14:algn="ctr">
            <w14:noFill/>
            <w14:prstDash w14:val="solid"/>
            <w14:bevel/>
          </w14:textOutline>
        </w:rPr>
        <w:t xml:space="preserve">Kirkwood </w:t>
      </w:r>
      <w:r w:rsidRPr="008275EC">
        <w:rPr>
          <w:rFonts w:eastAsia="Arial Unicode MS"/>
          <w:color w:val="000000"/>
          <w:szCs w:val="24"/>
          <w:bdr w:val="nil"/>
          <w:lang w:val="el-GR"/>
          <w14:textOutline w14:w="0" w14:cap="flat" w14:cmpd="sng" w14:algn="ctr">
            <w14:noFill/>
            <w14:prstDash w14:val="solid"/>
            <w14:bevel/>
          </w14:textOutline>
        </w:rPr>
        <w:t xml:space="preserve">και </w:t>
      </w:r>
      <w:r w:rsidRPr="008275EC">
        <w:rPr>
          <w:rFonts w:eastAsia="Arial Unicode MS"/>
          <w:color w:val="000000"/>
          <w:szCs w:val="24"/>
          <w:bdr w:val="nil"/>
          <w14:textOutline w14:w="0" w14:cap="flat" w14:cmpd="sng" w14:algn="ctr">
            <w14:noFill/>
            <w14:prstDash w14:val="solid"/>
            <w14:bevel/>
          </w14:textOutline>
        </w:rPr>
        <w:t>Nahm</w:t>
      </w:r>
      <w:r w:rsidRPr="008275EC">
        <w:rPr>
          <w:rFonts w:eastAsia="Arial Unicode MS"/>
          <w:color w:val="000000"/>
          <w:szCs w:val="24"/>
          <w:bdr w:val="nil"/>
          <w:lang w:val="el-GR"/>
          <w14:textOutline w14:w="0" w14:cap="flat" w14:cmpd="sng" w14:algn="ctr">
            <w14:noFill/>
            <w14:prstDash w14:val="solid"/>
            <w14:bevel/>
          </w14:textOutline>
        </w:rPr>
        <w:t xml:space="preserve"> (2006) εξέτασαν τη σχέση μεταξύ του κόστους και της κερδοφορίας για 10 αυστραλιανούς χρηματοοικονομικούς οργανισμούς, εισηγμένους σε αυστραλιανά χρηματιστήρια. Οι συγγραφείς εξέτασαν ένα δείγμα από 79 δεδομένα, για μια περίοδο ετών μεταξύ του 1995 και του 2002. Οι </w:t>
      </w:r>
      <w:r w:rsidRPr="008275EC">
        <w:rPr>
          <w:rFonts w:eastAsia="Arial Unicode MS"/>
          <w:color w:val="000000"/>
          <w:szCs w:val="24"/>
          <w:bdr w:val="nil"/>
          <w:lang w:val="nl-NL"/>
          <w14:textOutline w14:w="0" w14:cap="flat" w14:cmpd="sng" w14:algn="ctr">
            <w14:noFill/>
            <w14:prstDash w14:val="solid"/>
            <w14:bevel/>
          </w14:textOutline>
        </w:rPr>
        <w:t xml:space="preserve">Kirkwood </w:t>
      </w:r>
      <w:r w:rsidRPr="008275EC">
        <w:rPr>
          <w:rFonts w:eastAsia="Arial Unicode MS"/>
          <w:color w:val="000000"/>
          <w:szCs w:val="24"/>
          <w:bdr w:val="nil"/>
          <w:lang w:val="el-GR"/>
          <w14:textOutline w14:w="0" w14:cap="flat" w14:cmpd="sng" w14:algn="ctr">
            <w14:noFill/>
            <w14:prstDash w14:val="solid"/>
            <w14:bevel/>
          </w14:textOutline>
        </w:rPr>
        <w:t xml:space="preserve">και </w:t>
      </w:r>
      <w:r w:rsidRPr="008275EC">
        <w:rPr>
          <w:rFonts w:eastAsia="Arial Unicode MS"/>
          <w:color w:val="000000"/>
          <w:szCs w:val="24"/>
          <w:bdr w:val="nil"/>
          <w14:textOutline w14:w="0" w14:cap="flat" w14:cmpd="sng" w14:algn="ctr">
            <w14:noFill/>
            <w14:prstDash w14:val="solid"/>
            <w14:bevel/>
          </w14:textOutline>
        </w:rPr>
        <w:t>Nahm</w:t>
      </w:r>
      <w:r w:rsidRPr="008275EC">
        <w:rPr>
          <w:rFonts w:eastAsia="Arial Unicode MS"/>
          <w:color w:val="000000"/>
          <w:szCs w:val="24"/>
          <w:bdr w:val="nil"/>
          <w:lang w:val="el-GR"/>
          <w14:textOutline w14:w="0" w14:cap="flat" w14:cmpd="sng" w14:algn="ctr">
            <w14:noFill/>
            <w14:prstDash w14:val="solid"/>
            <w14:bevel/>
          </w14:textOutline>
        </w:rPr>
        <w:t xml:space="preserve"> (2006) διαπίστωσαν ότι οι μεγάλοι χρηματοοικονομικοί οργανισμοί είχαν βελτίωση τόσο στο κόστος όσο και στην αποδοτικότητα των κερδών τους. Ωστόσο, οι χρηματοοικονομικές αποδόσεις των μικρότερων </w:t>
      </w:r>
      <w:r w:rsidRPr="008275EC">
        <w:rPr>
          <w:rFonts w:eastAsia="Arial Unicode MS"/>
          <w:color w:val="000000"/>
          <w:szCs w:val="24"/>
          <w:bdr w:val="nil"/>
          <w:lang w:val="el-GR"/>
          <w14:textOutline w14:w="0" w14:cap="flat" w14:cmpd="sng" w14:algn="ctr">
            <w14:noFill/>
            <w14:prstDash w14:val="solid"/>
            <w14:bevel/>
          </w14:textOutline>
        </w:rPr>
        <w:lastRenderedPageBreak/>
        <w:t xml:space="preserve">χρηματοοικονομικών οργανισμών της Αυστραλίας αντικατοπτρίζονταν στις αποδόσεις των τιμών των μετοχών αυτών. </w:t>
      </w:r>
    </w:p>
    <w:p w14:paraId="0188EE2D" w14:textId="77777777"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Οι </w:t>
      </w:r>
      <w:r w:rsidRPr="008275EC">
        <w:rPr>
          <w:rFonts w:eastAsia="Arial Unicode MS"/>
          <w:color w:val="000000"/>
          <w:szCs w:val="24"/>
          <w:bdr w:val="nil"/>
          <w14:textOutline w14:w="0" w14:cap="flat" w14:cmpd="sng" w14:algn="ctr">
            <w14:noFill/>
            <w14:prstDash w14:val="solid"/>
            <w14:bevel/>
          </w14:textOutline>
        </w:rPr>
        <w:t>Liadaki</w:t>
      </w:r>
      <w:r w:rsidRPr="008275EC">
        <w:rPr>
          <w:rFonts w:eastAsia="Arial Unicode MS"/>
          <w:color w:val="000000"/>
          <w:szCs w:val="24"/>
          <w:bdr w:val="nil"/>
          <w:lang w:val="el-GR"/>
          <w14:textOutline w14:w="0" w14:cap="flat" w14:cmpd="sng" w14:algn="ctr">
            <w14:noFill/>
            <w14:prstDash w14:val="solid"/>
            <w14:bevel/>
          </w14:textOutline>
        </w:rPr>
        <w:t xml:space="preserve"> και </w:t>
      </w:r>
      <w:r w:rsidRPr="008275EC">
        <w:rPr>
          <w:rFonts w:eastAsia="Arial Unicode MS"/>
          <w:color w:val="000000"/>
          <w:szCs w:val="24"/>
          <w:bdr w:val="nil"/>
          <w14:textOutline w14:w="0" w14:cap="flat" w14:cmpd="sng" w14:algn="ctr">
            <w14:noFill/>
            <w14:prstDash w14:val="solid"/>
            <w14:bevel/>
          </w14:textOutline>
        </w:rPr>
        <w:t>Gaganis</w:t>
      </w:r>
      <w:r w:rsidRPr="008275EC">
        <w:rPr>
          <w:rFonts w:eastAsia="Arial Unicode MS"/>
          <w:color w:val="000000"/>
          <w:szCs w:val="24"/>
          <w:bdr w:val="nil"/>
          <w:lang w:val="el-GR"/>
          <w14:textOutline w14:w="0" w14:cap="flat" w14:cmpd="sng" w14:algn="ctr">
            <w14:noFill/>
            <w14:prstDash w14:val="solid"/>
            <w14:bevel/>
          </w14:textOutline>
        </w:rPr>
        <w:t xml:space="preserve"> (2010) διερεύνησαν εάν η απόδοση των τιμών των μετοχών των χρηματοοικονομικών οργανισμών σχετίζεται με την παραγωγικότητα και την αποδοτικότητα αυτών των οργανισμών. Δείγμα των ερευνητών ήταν 171 χρηματοοικονομικοί οργανισμοί εισηγμένοι σε χρηματιστήρια της Ε.Ε. Για τους σκοπούς της έρευνας, η εξεταζόμενη περίοδος ήταν μεταξύ του 2002 και του 2006. Χρησιμοποιήθηκε η ανάλυση στοχαστικού συνόρου. Οι </w:t>
      </w:r>
      <w:r w:rsidRPr="008275EC">
        <w:rPr>
          <w:rFonts w:eastAsia="Arial Unicode MS"/>
          <w:color w:val="000000"/>
          <w:szCs w:val="24"/>
          <w:bdr w:val="nil"/>
          <w14:textOutline w14:w="0" w14:cap="flat" w14:cmpd="sng" w14:algn="ctr">
            <w14:noFill/>
            <w14:prstDash w14:val="solid"/>
            <w14:bevel/>
          </w14:textOutline>
        </w:rPr>
        <w:t>Liadaki</w:t>
      </w:r>
      <w:r w:rsidRPr="008275EC">
        <w:rPr>
          <w:rFonts w:eastAsia="Arial Unicode MS"/>
          <w:color w:val="000000"/>
          <w:szCs w:val="24"/>
          <w:bdr w:val="nil"/>
          <w:lang w:val="el-GR"/>
          <w14:textOutline w14:w="0" w14:cap="flat" w14:cmpd="sng" w14:algn="ctr">
            <w14:noFill/>
            <w14:prstDash w14:val="solid"/>
            <w14:bevel/>
          </w14:textOutline>
        </w:rPr>
        <w:t xml:space="preserve"> και </w:t>
      </w:r>
      <w:r w:rsidRPr="008275EC">
        <w:rPr>
          <w:rFonts w:eastAsia="Arial Unicode MS"/>
          <w:color w:val="000000"/>
          <w:szCs w:val="24"/>
          <w:bdr w:val="nil"/>
          <w14:textOutline w14:w="0" w14:cap="flat" w14:cmpd="sng" w14:algn="ctr">
            <w14:noFill/>
            <w14:prstDash w14:val="solid"/>
            <w14:bevel/>
          </w14:textOutline>
        </w:rPr>
        <w:t>Gaganis</w:t>
      </w:r>
      <w:r w:rsidRPr="008275EC">
        <w:rPr>
          <w:rFonts w:eastAsia="Arial Unicode MS"/>
          <w:color w:val="000000"/>
          <w:szCs w:val="24"/>
          <w:bdr w:val="nil"/>
          <w:lang w:val="el-GR"/>
          <w14:textOutline w14:w="0" w14:cap="flat" w14:cmpd="sng" w14:algn="ctr">
            <w14:noFill/>
            <w14:prstDash w14:val="solid"/>
            <w14:bevel/>
          </w14:textOutline>
        </w:rPr>
        <w:t xml:space="preserve"> (2010) κατέληξαν στο συμπέρασμα ότι οι δείκτες αποδοτικότητας κερδών είχαν θετικό και σημαντικό αντίκτυπο στις αποδόσεις των τιμών των μετοχών των χρηματοοικονομικών οργανισμών. Από την άλλη πλευρά, οι συγγραφείς δεν βρήκαν συσχέτιση μεταξύ των δεικτών της αποδοτικότητας του κόστους και των αποδόσεων των τιμών των μετοχών.</w:t>
      </w:r>
    </w:p>
    <w:p w14:paraId="3A5B6D73" w14:textId="77777777"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Μερικά χρόνια αργότερα, οι </w:t>
      </w:r>
      <w:r w:rsidRPr="008275EC">
        <w:rPr>
          <w:rFonts w:eastAsia="Arial Unicode MS"/>
          <w:color w:val="000000"/>
          <w:szCs w:val="24"/>
          <w:bdr w:val="nil"/>
          <w:lang w:val="tr-TR"/>
          <w14:textOutline w14:w="0" w14:cap="flat" w14:cmpd="sng" w14:algn="ctr">
            <w14:noFill/>
            <w14:prstDash w14:val="solid"/>
            <w14:bevel/>
          </w14:textOutline>
        </w:rPr>
        <w:t>Başarır</w:t>
      </w:r>
      <w:r w:rsidRPr="008275EC">
        <w:rPr>
          <w:rFonts w:eastAsia="Arial Unicode MS"/>
          <w:color w:val="000000"/>
          <w:szCs w:val="24"/>
          <w:bdr w:val="nil"/>
          <w:lang w:val="el-GR"/>
          <w14:textOutline w14:w="0" w14:cap="flat" w14:cmpd="sng" w14:algn="ctr">
            <w14:noFill/>
            <w14:prstDash w14:val="solid"/>
            <w14:bevel/>
          </w14:textOutline>
        </w:rPr>
        <w:t xml:space="preserve"> και </w:t>
      </w:r>
      <w:bookmarkStart w:id="30" w:name="_Hlk79321590"/>
      <w:r w:rsidRPr="008275EC">
        <w:rPr>
          <w:rFonts w:eastAsia="Arial Unicode MS"/>
          <w:color w:val="000000"/>
          <w:szCs w:val="24"/>
          <w:bdr w:val="nil"/>
          <w:lang w:val="tr-TR"/>
          <w14:textOutline w14:w="0" w14:cap="flat" w14:cmpd="sng" w14:algn="ctr">
            <w14:noFill/>
            <w14:prstDash w14:val="solid"/>
            <w14:bevel/>
          </w14:textOutline>
        </w:rPr>
        <w:t>Ülker</w:t>
      </w:r>
      <w:bookmarkEnd w:id="30"/>
      <w:r w:rsidRPr="008275EC">
        <w:rPr>
          <w:rFonts w:eastAsia="Arial Unicode MS"/>
          <w:color w:val="000000"/>
          <w:szCs w:val="24"/>
          <w:bdr w:val="nil"/>
          <w:lang w:val="el-GR"/>
          <w14:textOutline w14:w="0" w14:cap="flat" w14:cmpd="sng" w14:algn="ctr">
            <w14:noFill/>
            <w14:prstDash w14:val="solid"/>
            <w14:bevel/>
          </w14:textOutline>
        </w:rPr>
        <w:t xml:space="preserve"> (2015) ασχολήθηκαν με τη σχέση μεταξύ των χρηματοοικονομικών δεικτών και των αποδόσεων των τιμών των μετοχών 10 χρηματοπιστωτικών οργανισμών, εισηγμένων στο χρηματιστήριο</w:t>
      </w:r>
      <w:r w:rsidRPr="008275EC">
        <w:rPr>
          <w:rFonts w:eastAsia="Arial Unicode MS"/>
          <w:color w:val="000000"/>
          <w:szCs w:val="24"/>
          <w:bdr w:val="nil"/>
          <w:lang w:val="it-IT"/>
          <w14:textOutline w14:w="0" w14:cap="flat" w14:cmpd="sng" w14:algn="ctr">
            <w14:noFill/>
            <w14:prstDash w14:val="solid"/>
            <w14:bevel/>
          </w14:textOutline>
        </w:rPr>
        <w:t xml:space="preserve"> Borsa </w:t>
      </w:r>
      <w:r w:rsidRPr="008275EC">
        <w:rPr>
          <w:rFonts w:eastAsia="Arial Unicode MS"/>
          <w:color w:val="000000"/>
          <w:szCs w:val="24"/>
          <w:bdr w:val="nil"/>
          <w:lang w:val="el-GR"/>
          <w14:textOutline w14:w="0" w14:cap="flat" w14:cmpd="sng" w14:algn="ctr">
            <w14:noFill/>
            <w14:prstDash w14:val="solid"/>
            <w14:bevel/>
          </w14:textOutline>
        </w:rPr>
        <w:t xml:space="preserve">της Κωνσταντινούπολης, Τουρκία. Οι συγγραφείς ανέλυσαν τριμηνιαία στοιχεία χρηματοοικονομικής απόδοσης, για μια χρονική περίοδο μεταξύ του πρώτου τριμήνου του 2002 έως του δευτέρου τριμήνου του 2013. Οι </w:t>
      </w:r>
      <w:r w:rsidRPr="008275EC">
        <w:rPr>
          <w:rFonts w:eastAsia="Arial Unicode MS"/>
          <w:color w:val="000000"/>
          <w:szCs w:val="24"/>
          <w:bdr w:val="nil"/>
          <w:lang w:val="tr-TR"/>
          <w14:textOutline w14:w="0" w14:cap="flat" w14:cmpd="sng" w14:algn="ctr">
            <w14:noFill/>
            <w14:prstDash w14:val="solid"/>
            <w14:bevel/>
          </w14:textOutline>
        </w:rPr>
        <w:t>Başarır</w:t>
      </w:r>
      <w:r w:rsidRPr="008275EC">
        <w:rPr>
          <w:rFonts w:eastAsia="Arial Unicode MS"/>
          <w:color w:val="000000"/>
          <w:szCs w:val="24"/>
          <w:bdr w:val="nil"/>
          <w:lang w:val="el-GR"/>
          <w14:textOutline w14:w="0" w14:cap="flat" w14:cmpd="sng" w14:algn="ctr">
            <w14:noFill/>
            <w14:prstDash w14:val="solid"/>
            <w14:bevel/>
          </w14:textOutline>
        </w:rPr>
        <w:t xml:space="preserve"> και </w:t>
      </w:r>
      <w:bookmarkStart w:id="31" w:name="_Hlk79321663"/>
      <w:r w:rsidRPr="008275EC">
        <w:rPr>
          <w:rFonts w:eastAsia="Arial Unicode MS"/>
          <w:color w:val="000000"/>
          <w:szCs w:val="24"/>
          <w:bdr w:val="nil"/>
          <w:lang w:val="tr-TR"/>
          <w14:textOutline w14:w="0" w14:cap="flat" w14:cmpd="sng" w14:algn="ctr">
            <w14:noFill/>
            <w14:prstDash w14:val="solid"/>
            <w14:bevel/>
          </w14:textOutline>
        </w:rPr>
        <w:t>Ülker</w:t>
      </w:r>
      <w:bookmarkEnd w:id="31"/>
      <w:r w:rsidRPr="008275EC">
        <w:rPr>
          <w:rFonts w:eastAsia="Arial Unicode MS"/>
          <w:color w:val="000000"/>
          <w:szCs w:val="24"/>
          <w:bdr w:val="nil"/>
          <w:lang w:val="el-GR"/>
          <w14:textOutline w14:w="0" w14:cap="flat" w14:cmpd="sng" w14:algn="ctr">
            <w14:noFill/>
            <w14:prstDash w14:val="solid"/>
            <w14:bevel/>
          </w14:textOutline>
        </w:rPr>
        <w:t xml:space="preserve"> (2015) κατέληξαν ότι υπήρχαν σημαντικές σχέσεις, είτε θετικές είτε αρνητικές, μεταξύ των χρηματοοικονομικών δεικτών και των αποδόσεων των  τιμών των μετοχών. </w:t>
      </w:r>
    </w:p>
    <w:p w14:paraId="13582448" w14:textId="77777777"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Οι </w:t>
      </w:r>
      <w:r w:rsidRPr="008275EC">
        <w:rPr>
          <w:rFonts w:eastAsia="Arial Unicode MS"/>
          <w:color w:val="000000"/>
          <w:szCs w:val="24"/>
          <w:bdr w:val="nil"/>
          <w14:textOutline w14:w="0" w14:cap="flat" w14:cmpd="sng" w14:algn="ctr">
            <w14:noFill/>
            <w14:prstDash w14:val="solid"/>
            <w14:bevel/>
          </w14:textOutline>
        </w:rPr>
        <w:t>Idowu</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nl-NL"/>
          <w14:textOutline w14:w="0" w14:cap="flat" w14:cmpd="sng" w14:algn="ctr">
            <w14:noFill/>
            <w14:prstDash w14:val="solid"/>
            <w14:bevel/>
          </w14:textOutline>
        </w:rPr>
        <w:t>et al</w:t>
      </w:r>
      <w:r w:rsidRPr="008275EC">
        <w:rPr>
          <w:rFonts w:eastAsia="Arial Unicode MS"/>
          <w:color w:val="000000"/>
          <w:szCs w:val="24"/>
          <w:bdr w:val="nil"/>
          <w:lang w:val="el-GR"/>
          <w14:textOutline w14:w="0" w14:cap="flat" w14:cmpd="sng" w14:algn="ctr">
            <w14:noFill/>
            <w14:prstDash w14:val="solid"/>
            <w14:bevel/>
          </w14:textOutline>
        </w:rPr>
        <w:t>. (2018) ανέλυσαν τις σχέσεις μεταξύ της χρηματοοικονομικής απόδοσης και των αποδόσεων των τιμών των μετοχών, στον χρηματοοικονομικό κλάδο της Νιγηρίας. Ως δείγμα χρησιμοποιήθηκαν πέντε εισηγμένοι χρηματοπιστωτικοί οργανισμοί. Για την ανάλυση της χρηματοοικονομικής απόδοσης, οι συγγραφείς χρησιμοποίησαν τους χρηματοοικονομικούς δείκτες του καθαρού περιθωρίου κέρδους,</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el-GR"/>
          <w14:textOutline w14:w="0" w14:cap="flat" w14:cmpd="sng" w14:algn="ctr">
            <w14:noFill/>
            <w14:prstDash w14:val="solid"/>
            <w14:bevel/>
          </w14:textOutline>
        </w:rPr>
        <w:t>των κερδών ανά μετοχή,</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el-GR"/>
          <w14:textOutline w14:w="0" w14:cap="flat" w14:cmpd="sng" w14:algn="ctr">
            <w14:noFill/>
            <w14:prstDash w14:val="solid"/>
            <w14:bevel/>
          </w14:textOutline>
        </w:rPr>
        <w:t>της απόδοσης των ιδίων κεφαλαίων</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el-GR"/>
          <w14:textOutline w14:w="0" w14:cap="flat" w14:cmpd="sng" w14:algn="ctr">
            <w14:noFill/>
            <w14:prstDash w14:val="solid"/>
            <w14:bevel/>
          </w14:textOutline>
        </w:rPr>
        <w:t>της απόδοσης των περιουσιακών στοιχείων και της άμεσης ρευστότητας</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nl-NL"/>
          <w14:textOutline w14:w="0" w14:cap="flat" w14:cmpd="sng" w14:algn="ctr">
            <w14:noFill/>
            <w14:prstDash w14:val="solid"/>
            <w14:bevel/>
          </w14:textOutline>
        </w:rPr>
        <w:t xml:space="preserve">(Anwaar, 2016). </w:t>
      </w:r>
      <w:r w:rsidRPr="008275EC">
        <w:rPr>
          <w:rFonts w:eastAsia="Arial Unicode MS"/>
          <w:color w:val="000000"/>
          <w:szCs w:val="24"/>
          <w:bdr w:val="nil"/>
          <w:lang w:val="el-GR"/>
          <w14:textOutline w14:w="0" w14:cap="flat" w14:cmpd="sng" w14:algn="ctr">
            <w14:noFill/>
            <w14:prstDash w14:val="solid"/>
            <w14:bevel/>
          </w14:textOutline>
        </w:rPr>
        <w:t xml:space="preserve">Η εξεταζόμενη περίοδος ήταν από το 2012 έως το 2016. Οι </w:t>
      </w:r>
      <w:r w:rsidRPr="008275EC">
        <w:rPr>
          <w:rFonts w:eastAsia="Arial Unicode MS"/>
          <w:color w:val="000000"/>
          <w:szCs w:val="24"/>
          <w:bdr w:val="nil"/>
          <w14:textOutline w14:w="0" w14:cap="flat" w14:cmpd="sng" w14:algn="ctr">
            <w14:noFill/>
            <w14:prstDash w14:val="solid"/>
            <w14:bevel/>
          </w14:textOutline>
        </w:rPr>
        <w:t>Idowu</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(2018) κατέληξαν στο συμπέρασμα ότι οι δείκτες της απόδοσης των περιουσιακών στοιχείων και του καθαρού περιθωρίου κέρδους είχαν θετικό και σημαντικό </w:t>
      </w:r>
      <w:r w:rsidRPr="008275EC">
        <w:rPr>
          <w:rFonts w:eastAsia="Arial Unicode MS"/>
          <w:color w:val="000000"/>
          <w:szCs w:val="24"/>
          <w:bdr w:val="nil"/>
          <w:lang w:val="el-GR"/>
          <w14:textOutline w14:w="0" w14:cap="flat" w14:cmpd="sng" w14:algn="ctr">
            <w14:noFill/>
            <w14:prstDash w14:val="solid"/>
            <w14:bevel/>
          </w14:textOutline>
        </w:rPr>
        <w:lastRenderedPageBreak/>
        <w:t xml:space="preserve">αντίκτυπο στις αποδόσεις των τιμών των μετοχών ενός οργανισμού. Ο δείκτης των κερδών ανά μετοχή είχε σημαντικό, αλλά αρνητικό αντίκτυπο. Οι δείκτες της απόδοσης των ιδίων κεφαλαίων, και της άμεσης ρευστότητας είχαν, στατιστικά, ασήμαντο αντίκτυπο. Οι </w:t>
      </w:r>
      <w:r w:rsidRPr="008275EC">
        <w:rPr>
          <w:rFonts w:eastAsia="Arial Unicode MS"/>
          <w:color w:val="000000"/>
          <w:szCs w:val="24"/>
          <w:bdr w:val="nil"/>
          <w14:textOutline w14:w="0" w14:cap="flat" w14:cmpd="sng" w14:algn="ctr">
            <w14:noFill/>
            <w14:prstDash w14:val="solid"/>
            <w14:bevel/>
          </w14:textOutline>
        </w:rPr>
        <w:t>Idowu</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(2018) κατέληξαν στα ίδια συμπεράσματα με τον</w:t>
      </w:r>
      <w:r w:rsidRPr="008275EC">
        <w:rPr>
          <w:rFonts w:eastAsia="Arial Unicode MS"/>
          <w:color w:val="000000"/>
          <w:szCs w:val="24"/>
          <w:bdr w:val="nil"/>
          <w:lang w:val="nl-NL"/>
          <w14:textOutline w14:w="0" w14:cap="flat" w14:cmpd="sng" w14:algn="ctr">
            <w14:noFill/>
            <w14:prstDash w14:val="solid"/>
            <w14:bevel/>
          </w14:textOutline>
        </w:rPr>
        <w:t xml:space="preserve"> Anwaar (2016), </w:t>
      </w:r>
      <w:r w:rsidRPr="008275EC">
        <w:rPr>
          <w:rFonts w:eastAsia="Arial Unicode MS"/>
          <w:color w:val="000000"/>
          <w:szCs w:val="24"/>
          <w:bdr w:val="nil"/>
          <w:lang w:val="el-GR"/>
          <w14:textOutline w14:w="0" w14:cap="flat" w14:cmpd="sng" w14:algn="ctr">
            <w14:noFill/>
            <w14:prstDash w14:val="solid"/>
            <w14:bevel/>
          </w14:textOutline>
        </w:rPr>
        <w:t>παρόλο που οι δύο μελέτες διεξήχθησαν σε διαφορετικές περιόδους και σε διαφορετικές χρηματοπιστωτικές αγορές.</w:t>
      </w:r>
    </w:p>
    <w:p w14:paraId="3A21EED0" w14:textId="77777777"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Εν τέλη, οι </w:t>
      </w:r>
      <w:r w:rsidRPr="008275EC">
        <w:rPr>
          <w:rFonts w:eastAsia="Arial Unicode MS"/>
          <w:color w:val="000000"/>
          <w:szCs w:val="24"/>
          <w:bdr w:val="nil"/>
          <w14:textOutline w14:w="0" w14:cap="flat" w14:cmpd="sng" w14:algn="ctr">
            <w14:noFill/>
            <w14:prstDash w14:val="solid"/>
            <w14:bevel/>
          </w14:textOutline>
        </w:rPr>
        <w:t>Hove</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nl-NL"/>
          <w14:textOutline w14:w="0" w14:cap="flat" w14:cmpd="sng" w14:algn="ctr">
            <w14:noFill/>
            <w14:prstDash w14:val="solid"/>
            <w14:bevel/>
          </w14:textOutline>
        </w:rPr>
        <w:t>et al</w:t>
      </w:r>
      <w:r w:rsidRPr="008275EC">
        <w:rPr>
          <w:rFonts w:eastAsia="Arial Unicode MS"/>
          <w:color w:val="000000"/>
          <w:szCs w:val="24"/>
          <w:bdr w:val="nil"/>
          <w:lang w:val="el-GR"/>
          <w14:textOutline w14:w="0" w14:cap="flat" w14:cmpd="sng" w14:algn="ctr">
            <w14:noFill/>
            <w14:prstDash w14:val="solid"/>
            <w14:bevel/>
          </w14:textOutline>
        </w:rPr>
        <w:t xml:space="preserve">. (2020) εξέτασαν τη σχέση μεταξύ της χρηματοοικονομικής απόδοσης και της απόδοσης των τιμών των μετοχών, σε χρηματοπιστωτικούς οργανισμούς, εισηγμένους στο Χρηματιστήριο της Ζιμπάμπουε. Εξετάστηκαν πέντε χρηματοπιστωτικοί οργανισμοί. Χρησιμοποιήθηκαν δευτερογενή δεδομένα και υπολογίστηκαν οι χρηματοοικονομικοί δείκτες των κερδών ανά μετοχή, της απόδοσης των περιουσιακών στοιχείων, της απόδοσης των ιδίων κεφαλαίων και της απόδοσης της επένδυσης. Το εξεταζόμενο χρονικό διάστημα ήταν μεταξύ 31/12/2009 με 30/06/2008. Οι </w:t>
      </w:r>
      <w:r w:rsidRPr="008275EC">
        <w:rPr>
          <w:rFonts w:eastAsia="Arial Unicode MS"/>
          <w:color w:val="000000"/>
          <w:szCs w:val="24"/>
          <w:bdr w:val="nil"/>
          <w14:textOutline w14:w="0" w14:cap="flat" w14:cmpd="sng" w14:algn="ctr">
            <w14:noFill/>
            <w14:prstDash w14:val="solid"/>
            <w14:bevel/>
          </w14:textOutline>
        </w:rPr>
        <w:t>Hove</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nl-NL"/>
          <w14:textOutline w14:w="0" w14:cap="flat" w14:cmpd="sng" w14:algn="ctr">
            <w14:noFill/>
            <w14:prstDash w14:val="solid"/>
            <w14:bevel/>
          </w14:textOutline>
        </w:rPr>
        <w:t>et al</w:t>
      </w:r>
      <w:r w:rsidRPr="008275EC">
        <w:rPr>
          <w:rFonts w:eastAsia="Arial Unicode MS"/>
          <w:color w:val="000000"/>
          <w:szCs w:val="24"/>
          <w:bdr w:val="nil"/>
          <w:lang w:val="el-GR"/>
          <w14:textOutline w14:w="0" w14:cap="flat" w14:cmpd="sng" w14:algn="ctr">
            <w14:noFill/>
            <w14:prstDash w14:val="solid"/>
            <w14:bevel/>
          </w14:textOutline>
        </w:rPr>
        <w:t>. (2020) διαπίστωσαν ότι ο δείκτης της απόδοσης της επένδυσης είχε θετική και σημαντική επίδραση στις αποδόσεις των τιμών των μετοχών ενός οργανισμού. Από την άλλη πλευρά, οι δείκτες της απόδοσης των περιουσιακών στοιχείων</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el-GR"/>
          <w14:textOutline w14:w="0" w14:cap="flat" w14:cmpd="sng" w14:algn="ctr">
            <w14:noFill/>
            <w14:prstDash w14:val="solid"/>
            <w14:bevel/>
          </w14:textOutline>
        </w:rPr>
        <w:t>των κερδών ανά μετοχή, και της απόδοσης των ιδίων κεφαλαίων είχαν ασήμαντη και αρνητική επίδραση.</w:t>
      </w:r>
    </w:p>
    <w:p w14:paraId="33D01D74" w14:textId="77777777" w:rsidR="000527B5"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Ακολούθως, εστιάζοντας στον ελληνικό χρηματοπιστωτικό κλάδο. Οι </w:t>
      </w:r>
      <w:r w:rsidRPr="008275EC">
        <w:rPr>
          <w:rFonts w:eastAsia="Arial Unicode MS"/>
          <w:color w:val="000000"/>
          <w:szCs w:val="24"/>
          <w:bdr w:val="nil"/>
          <w14:textOutline w14:w="0" w14:cap="flat" w14:cmpd="sng" w14:algn="ctr">
            <w14:noFill/>
            <w14:prstDash w14:val="solid"/>
            <w14:bevel/>
          </w14:textOutline>
        </w:rPr>
        <w:t>Pasiouras</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(2008) ερεύνησαν τη σχέση μεταξύ της χρηματοοικονομικής απόδοσης και των αποδόσεων των τιμών των μετοχών, των ελληνικών τραπεζικών οργανισμών. Η ανάλυση τους περιλάμβανε την χρονική περίοδο 2001 με 2005. Για τον υπολογισμό των χρηματοπιστωτικών δεικτών χρησιμοποιήθηκε η μεθοδολογία εύρεσης συγκριτικής αποδοτικότητας</w:t>
      </w:r>
      <w:r w:rsidRPr="008275EC">
        <w:rPr>
          <w:color w:val="000000"/>
          <w:szCs w:val="24"/>
          <w:bdr w:val="nil"/>
          <w:vertAlign w:val="superscript"/>
          <w14:textOutline w14:w="0" w14:cap="flat" w14:cmpd="sng" w14:algn="ctr">
            <w14:noFill/>
            <w14:prstDash w14:val="solid"/>
            <w14:bevel/>
          </w14:textOutline>
        </w:rPr>
        <w:footnoteReference w:id="2"/>
      </w:r>
      <w:r w:rsidRPr="008275EC">
        <w:rPr>
          <w:rFonts w:eastAsia="Arial Unicode MS"/>
          <w:color w:val="000000"/>
          <w:szCs w:val="24"/>
          <w:bdr w:val="nil"/>
          <w:lang w:val="el-GR"/>
          <w14:textOutline w14:w="0" w14:cap="flat" w14:cmpd="sng" w14:algn="ctr">
            <w14:noFill/>
            <w14:prstDash w14:val="solid"/>
            <w14:bevel/>
          </w14:textOutline>
        </w:rPr>
        <w:t xml:space="preserve"> και η ανάλυση παλινδρόμησης. Οι </w:t>
      </w:r>
      <w:r w:rsidRPr="008275EC">
        <w:rPr>
          <w:rFonts w:eastAsia="Arial Unicode MS"/>
          <w:color w:val="000000"/>
          <w:szCs w:val="24"/>
          <w:bdr w:val="nil"/>
          <w14:textOutline w14:w="0" w14:cap="flat" w14:cmpd="sng" w14:algn="ctr">
            <w14:noFill/>
            <w14:prstDash w14:val="solid"/>
            <w14:bevel/>
          </w14:textOutline>
        </w:rPr>
        <w:t>Pasiouras</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(2008) βρήκαν ότι υπάρχει μια θετική και στατιστικά σημαντική σχέση μεταξύ της τεχνικής απόδοσης των τραπεζικών οργανισμών και των αποδόσεων των τιμών των μετοχών αυτών. Από την άλλη πλευρά ανέφεραν ότι η αποτελεσματικότητα κατανομής δεν έχει καμία επίδραση στις αποδόσεις των τιμών των μετοχών. </w:t>
      </w:r>
    </w:p>
    <w:p w14:paraId="1873C7F9" w14:textId="47DE3CD2" w:rsidR="008275EC" w:rsidRPr="008275EC" w:rsidRDefault="008275EC" w:rsidP="000527B5">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lastRenderedPageBreak/>
        <w:t xml:space="preserve">Οι </w:t>
      </w:r>
      <w:r w:rsidRPr="008275EC">
        <w:rPr>
          <w:rFonts w:eastAsia="Arial Unicode MS"/>
          <w:color w:val="000000"/>
          <w:szCs w:val="24"/>
          <w:bdr w:val="nil"/>
          <w:lang w:val="fr-FR"/>
          <w14:textOutline w14:w="0" w14:cap="flat" w14:cmpd="sng" w14:algn="ctr">
            <w14:noFill/>
            <w14:prstDash w14:val="solid"/>
            <w14:bevel/>
          </w14:textOutline>
        </w:rPr>
        <w:t>Dimitropoulos</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(2010) ανέλυσαν τη σχέση των χρηματοπιστωτικών κινδύνων και των αποδόσεων των τιμών των μετοχών, στον ελληνικό χρηματοπιστωτικό κλάδο. Η ανάλυση τους περιλάμβανε μια περίοδο 10 ετών (από το 1995 έως το 2004) και περιλάμβανε τους χρηματοπιστωτικούς οργανισμούς που ήταν εισηγμένοι στο Χρηματιστήριο Αθηνών εκείνη τη χρονική περίοδο. Έλαβαν υπόψη χρηματοπιστωτικούς κινδύνους, όπως τον κίνδυνο επιτοκίου, τον πιστωτικό κίνδυνο, τον κίνδυνο ρευστότητα και τον κίνδυνο χρεοκοπίας. Οι </w:t>
      </w:r>
      <w:r w:rsidRPr="008275EC">
        <w:rPr>
          <w:rFonts w:eastAsia="Arial Unicode MS"/>
          <w:color w:val="000000"/>
          <w:szCs w:val="24"/>
          <w:bdr w:val="nil"/>
          <w:lang w:val="fr-FR"/>
          <w14:textOutline w14:w="0" w14:cap="flat" w14:cmpd="sng" w14:algn="ctr">
            <w14:noFill/>
            <w14:prstDash w14:val="solid"/>
            <w14:bevel/>
          </w14:textOutline>
        </w:rPr>
        <w:t>Dimitropoulos</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(2010) κατέληξαν στο συμπέρασμα ότι τα κέρδη ήταν από τους πιο σημαντικούς παράγοντες για να εξηγήσουν τις αποδόσεις των τιμών των μετοχών των χρηματοπιστωτικών οργανισμών. Από την άλλη πλευρά, ο κίνδυνος επιτοκίου είχε θετική, αλλά όχι, στατιστικά σημαντική επίδραση στη σχέση των αποδόσεων των τιμών των μετοχών με τα κέρδη των οργανισμών. Ο πιστωτικός κίνδυνος και ο κίνδυνος ρευστότητας είχαν αρνητική επίδραση στην παραπάνω σχέση. </w:t>
      </w:r>
    </w:p>
    <w:p w14:paraId="2CCB4DE3" w14:textId="77777777" w:rsidR="008275EC" w:rsidRPr="008275EC" w:rsidRDefault="008275EC" w:rsidP="008275EC">
      <w:pPr>
        <w:pBdr>
          <w:top w:val="nil"/>
          <w:left w:val="nil"/>
          <w:bottom w:val="nil"/>
          <w:right w:val="nil"/>
          <w:between w:val="nil"/>
          <w:bar w:val="nil"/>
        </w:pBdr>
        <w:spacing w:before="200" w:after="200"/>
        <w:ind w:right="278" w:firstLine="0"/>
        <w:rPr>
          <w:rFonts w:eastAsia="Arial Unicode MS"/>
          <w:b/>
          <w:bCs/>
          <w:color w:val="000000"/>
          <w:szCs w:val="24"/>
          <w:bdr w:val="nil"/>
          <w:lang w:val="el-GR"/>
          <w14:textOutline w14:w="0" w14:cap="flat" w14:cmpd="sng" w14:algn="ctr">
            <w14:noFill/>
            <w14:prstDash w14:val="solid"/>
            <w14:bevel/>
          </w14:textOutline>
        </w:rPr>
      </w:pPr>
    </w:p>
    <w:p w14:paraId="0E77BA4F" w14:textId="4D866C16" w:rsidR="008275EC" w:rsidRPr="008275EC" w:rsidRDefault="008A04E1" w:rsidP="000527B5">
      <w:pPr>
        <w:pBdr>
          <w:top w:val="nil"/>
          <w:left w:val="nil"/>
          <w:bottom w:val="nil"/>
          <w:right w:val="nil"/>
          <w:between w:val="nil"/>
          <w:bar w:val="nil"/>
        </w:pBdr>
        <w:spacing w:before="200" w:after="200"/>
        <w:ind w:right="278" w:firstLine="0"/>
        <w:jc w:val="center"/>
        <w:rPr>
          <w:rFonts w:eastAsia="Arial Unicode MS"/>
          <w:b/>
          <w:bCs/>
          <w:color w:val="000000"/>
          <w:szCs w:val="24"/>
          <w:bdr w:val="nil"/>
          <w:lang w:val="el-GR"/>
          <w14:textOutline w14:w="0" w14:cap="flat" w14:cmpd="sng" w14:algn="ctr">
            <w14:noFill/>
            <w14:prstDash w14:val="solid"/>
            <w14:bevel/>
          </w14:textOutline>
        </w:rPr>
      </w:pPr>
      <w:r w:rsidRPr="000527B5">
        <w:rPr>
          <w:rFonts w:eastAsia="Arial Unicode MS"/>
          <w:b/>
          <w:bCs/>
          <w:color w:val="000000"/>
          <w:szCs w:val="24"/>
          <w:bdr w:val="nil"/>
          <w:lang w:val="el-GR"/>
          <w14:textOutline w14:w="0" w14:cap="flat" w14:cmpd="sng" w14:algn="ctr">
            <w14:noFill/>
            <w14:prstDash w14:val="solid"/>
            <w14:bevel/>
          </w14:textOutline>
        </w:rPr>
        <w:t>2</w:t>
      </w:r>
      <w:r w:rsidR="008275EC" w:rsidRPr="008275EC">
        <w:rPr>
          <w:rFonts w:eastAsia="Arial Unicode MS"/>
          <w:b/>
          <w:bCs/>
          <w:color w:val="000000"/>
          <w:szCs w:val="24"/>
          <w:bdr w:val="nil"/>
          <w:lang w:val="el-GR"/>
          <w14:textOutline w14:w="0" w14:cap="flat" w14:cmpd="sng" w14:algn="ctr">
            <w14:noFill/>
            <w14:prstDash w14:val="solid"/>
            <w14:bevel/>
          </w14:textOutline>
        </w:rPr>
        <w:t xml:space="preserve">.2. </w:t>
      </w:r>
      <w:bookmarkStart w:id="32" w:name="_Hlk84621472"/>
      <w:r w:rsidR="008275EC" w:rsidRPr="008275EC">
        <w:rPr>
          <w:rFonts w:eastAsia="Arial Unicode MS"/>
          <w:b/>
          <w:bCs/>
          <w:color w:val="000000"/>
          <w:szCs w:val="24"/>
          <w:bdr w:val="nil"/>
          <w:lang w:val="el-GR"/>
          <w14:textOutline w14:w="0" w14:cap="flat" w14:cmpd="sng" w14:algn="ctr">
            <w14:noFill/>
            <w14:prstDash w14:val="solid"/>
            <w14:bevel/>
          </w14:textOutline>
        </w:rPr>
        <w:t>ΕΡΕΥΝΗΤΙΚΟ ΚΕΝΟ ΣΤΗΝ ΥΠΑΡΧΟΥΣΑ ΒΙΒΛΙΟΓΡΑΦΙΑ</w:t>
      </w:r>
      <w:bookmarkEnd w:id="32"/>
    </w:p>
    <w:p w14:paraId="6EC0FFEC" w14:textId="15680B62" w:rsidR="008A04E1" w:rsidRDefault="008275EC" w:rsidP="008A04E1">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Εστιάζοντας στην παραπάνω αναφερόμενη σχετική βιβλιογραφία, είναι προφανές ότι -παγκοσμίως- έχει διεξαχθεί μεγάλος αριθμός μελετών που εξετάζουν τη σχέση μεταξύ της χρηματοοικονομικής απόδοσης και της απόδοσης των τιμών των μετοχών των οργανισμών. Αυτές οι μελέτες επικεντρώνονται είτε στους οργανισμούς διαφόρων τομέων μιας αγοράς</w:t>
      </w:r>
      <w:r w:rsidRPr="008275EC">
        <w:rPr>
          <w:rFonts w:eastAsia="Arial Unicode MS"/>
          <w:color w:val="000000"/>
          <w:szCs w:val="24"/>
          <w:bdr w:val="nil"/>
          <w:lang w:val="nl-NL"/>
          <w14:textOutline w14:w="0" w14:cap="flat" w14:cmpd="sng" w14:algn="ctr">
            <w14:noFill/>
            <w14:prstDash w14:val="solid"/>
            <w14:bevel/>
          </w14:textOutline>
        </w:rPr>
        <w:t xml:space="preserve"> (Anwaar, 2016</w:t>
      </w:r>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nl-NL"/>
          <w14:textOutline w14:w="0" w14:cap="flat" w14:cmpd="sng" w14:algn="ctr">
            <w14:noFill/>
            <w14:prstDash w14:val="solid"/>
            <w14:bevel/>
          </w14:textOutline>
        </w:rPr>
        <w:t>Ndirangu, 2016</w:t>
      </w:r>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14:textOutline w14:w="0" w14:cap="flat" w14:cmpd="sng" w14:algn="ctr">
            <w14:noFill/>
            <w14:prstDash w14:val="solid"/>
            <w14:bevel/>
          </w14:textOutline>
        </w:rPr>
        <w:t>Patra</w:t>
      </w:r>
      <w:r w:rsidRPr="008275EC">
        <w:rPr>
          <w:rFonts w:eastAsia="Arial Unicode MS"/>
          <w:color w:val="000000"/>
          <w:szCs w:val="24"/>
          <w:bdr w:val="nil"/>
          <w:lang w:val="el-GR"/>
          <w14:textOutline w14:w="0" w14:cap="flat" w14:cmpd="sng" w14:algn="ctr">
            <w14:noFill/>
            <w14:prstDash w14:val="solid"/>
            <w14:bevel/>
          </w14:textOutline>
        </w:rPr>
        <w:t xml:space="preserve"> </w:t>
      </w:r>
      <w:r w:rsidR="008A04E1">
        <w:rPr>
          <w:rFonts w:eastAsia="Arial Unicode MS"/>
          <w:color w:val="000000"/>
          <w:szCs w:val="24"/>
          <w:bdr w:val="nil"/>
          <w:lang w:val="el-GR"/>
          <w14:textOutline w14:w="0" w14:cap="flat" w14:cmpd="sng" w14:algn="ctr">
            <w14:noFill/>
            <w14:prstDash w14:val="solid"/>
            <w14:bevel/>
          </w14:textOutline>
        </w:rPr>
        <w:t>&amp;</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14:textOutline w14:w="0" w14:cap="flat" w14:cmpd="sng" w14:algn="ctr">
            <w14:noFill/>
            <w14:prstDash w14:val="solid"/>
            <w14:bevel/>
          </w14:textOutline>
        </w:rPr>
        <w:t>Poshakwale</w:t>
      </w:r>
      <w:r w:rsidRPr="008275EC">
        <w:rPr>
          <w:rFonts w:eastAsia="Arial Unicode MS"/>
          <w:color w:val="000000"/>
          <w:szCs w:val="24"/>
          <w:bdr w:val="nil"/>
          <w:lang w:val="el-GR"/>
          <w14:textOutline w14:w="0" w14:cap="flat" w14:cmpd="sng" w14:algn="ctr">
            <w14:noFill/>
            <w14:prstDash w14:val="solid"/>
            <w14:bevel/>
          </w14:textOutline>
        </w:rPr>
        <w:t>, 2006</w:t>
      </w:r>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14:textOutline w14:w="0" w14:cap="flat" w14:cmpd="sng" w14:algn="ctr">
            <w14:noFill/>
            <w14:prstDash w14:val="solid"/>
            <w14:bevel/>
          </w14:textOutline>
        </w:rPr>
        <w:t>Razak</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2020</w:t>
      </w:r>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14:textOutline w14:w="0" w14:cap="flat" w14:cmpd="sng" w14:algn="ctr">
            <w14:noFill/>
            <w14:prstDash w14:val="solid"/>
            <w14:bevel/>
          </w14:textOutline>
        </w:rPr>
        <w:t>Rengaraju</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2020</w:t>
      </w:r>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14:textOutline w14:w="0" w14:cap="flat" w14:cmpd="sng" w14:algn="ctr">
            <w14:noFill/>
            <w14:prstDash w14:val="solid"/>
            <w14:bevel/>
          </w14:textOutline>
        </w:rPr>
        <w:t>Saleh</w:t>
      </w:r>
      <w:r w:rsidRPr="008275EC">
        <w:rPr>
          <w:rFonts w:eastAsia="Arial Unicode MS"/>
          <w:color w:val="000000"/>
          <w:szCs w:val="24"/>
          <w:bdr w:val="nil"/>
          <w:lang w:val="el-GR"/>
          <w14:textOutline w14:w="0" w14:cap="flat" w14:cmpd="sng" w14:algn="ctr">
            <w14:noFill/>
            <w14:prstDash w14:val="solid"/>
            <w14:bevel/>
          </w14:textOutline>
        </w:rPr>
        <w:t xml:space="preserve">, 2015) ή σε συγκεκριμένο κλάδο της βιομηχανίας </w:t>
      </w:r>
      <w:r w:rsidRPr="008275EC">
        <w:rPr>
          <w:rFonts w:eastAsia="Arial Unicode MS"/>
          <w:color w:val="000000"/>
          <w:szCs w:val="24"/>
          <w:bdr w:val="nil"/>
          <w:lang w:val="pt-PT"/>
          <w14:textOutline w14:w="0" w14:cap="flat" w14:cmpd="sng" w14:algn="ctr">
            <w14:noFill/>
            <w14:prstDash w14:val="solid"/>
            <w14:bevel/>
          </w14:textOutline>
        </w:rPr>
        <w:t>(</w:t>
      </w:r>
      <w:r w:rsidRPr="008275EC">
        <w:rPr>
          <w:rFonts w:eastAsia="Arial Unicode MS"/>
          <w:color w:val="000000"/>
          <w:szCs w:val="24"/>
          <w:bdr w:val="nil"/>
          <w:lang w:val="tr-TR"/>
          <w14:textOutline w14:w="0" w14:cap="flat" w14:cmpd="sng" w14:algn="ctr">
            <w14:noFill/>
            <w14:prstDash w14:val="solid"/>
            <w14:bevel/>
          </w14:textOutline>
        </w:rPr>
        <w:t>Başarır &amp; Ülker</w:t>
      </w:r>
      <w:r w:rsidRPr="008275EC">
        <w:rPr>
          <w:rFonts w:eastAsia="Arial Unicode MS"/>
          <w:color w:val="000000"/>
          <w:szCs w:val="24"/>
          <w:bdr w:val="nil"/>
          <w:lang w:val="el-GR"/>
          <w14:textOutline w14:w="0" w14:cap="flat" w14:cmpd="sng" w14:algn="ctr">
            <w14:noFill/>
            <w14:prstDash w14:val="solid"/>
            <w14:bevel/>
          </w14:textOutline>
        </w:rPr>
        <w:t>, 2015</w:t>
      </w:r>
      <w:bookmarkStart w:id="33" w:name="_Hlk84073658"/>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fr-FR"/>
          <w14:textOutline w14:w="0" w14:cap="flat" w14:cmpd="sng" w14:algn="ctr">
            <w14:noFill/>
            <w14:prstDash w14:val="solid"/>
            <w14:bevel/>
          </w14:textOutline>
        </w:rPr>
        <w:t>Dimitropoulos</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el-GR"/>
          <w14:textOutline w14:w="0" w14:cap="flat" w14:cmpd="sng" w14:algn="ctr">
            <w14:noFill/>
            <w14:prstDash w14:val="solid"/>
            <w14:bevel/>
          </w14:textOutline>
        </w:rPr>
        <w:t>2010</w:t>
      </w:r>
      <w:bookmarkStart w:id="34" w:name="_Hlk84072889"/>
      <w:bookmarkEnd w:id="33"/>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14:textOutline w14:w="0" w14:cap="flat" w14:cmpd="sng" w14:algn="ctr">
            <w14:noFill/>
            <w14:prstDash w14:val="solid"/>
            <w14:bevel/>
          </w14:textOutline>
        </w:rPr>
        <w:t>Hove</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2020</w:t>
      </w:r>
      <w:bookmarkStart w:id="35" w:name="_Hlk84073085"/>
      <w:bookmarkEnd w:id="34"/>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14:textOutline w14:w="0" w14:cap="flat" w14:cmpd="sng" w14:algn="ctr">
            <w14:noFill/>
            <w14:prstDash w14:val="solid"/>
            <w14:bevel/>
          </w14:textOutline>
        </w:rPr>
        <w:t>Idowu</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2018</w:t>
      </w:r>
      <w:bookmarkEnd w:id="35"/>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14:textOutline w14:w="0" w14:cap="flat" w14:cmpd="sng" w14:algn="ctr">
            <w14:noFill/>
            <w14:prstDash w14:val="solid"/>
            <w14:bevel/>
          </w14:textOutline>
        </w:rPr>
        <w:t>Kirkwood</w:t>
      </w:r>
      <w:r w:rsidRPr="008275EC">
        <w:rPr>
          <w:rFonts w:eastAsia="Arial Unicode MS"/>
          <w:color w:val="000000"/>
          <w:szCs w:val="24"/>
          <w:bdr w:val="nil"/>
          <w:lang w:val="el-GR"/>
          <w14:textOutline w14:w="0" w14:cap="flat" w14:cmpd="sng" w14:algn="ctr">
            <w14:noFill/>
            <w14:prstDash w14:val="solid"/>
            <w14:bevel/>
          </w14:textOutline>
        </w:rPr>
        <w:t xml:space="preserve"> &amp; </w:t>
      </w:r>
      <w:r w:rsidRPr="008275EC">
        <w:rPr>
          <w:rFonts w:eastAsia="Arial Unicode MS"/>
          <w:color w:val="000000"/>
          <w:szCs w:val="24"/>
          <w:bdr w:val="nil"/>
          <w14:textOutline w14:w="0" w14:cap="flat" w14:cmpd="sng" w14:algn="ctr">
            <w14:noFill/>
            <w14:prstDash w14:val="solid"/>
            <w14:bevel/>
          </w14:textOutline>
        </w:rPr>
        <w:t>Nahm</w:t>
      </w:r>
      <w:r w:rsidRPr="008275EC">
        <w:rPr>
          <w:rFonts w:eastAsia="Arial Unicode MS"/>
          <w:color w:val="000000"/>
          <w:szCs w:val="24"/>
          <w:bdr w:val="nil"/>
          <w:lang w:val="el-GR"/>
          <w14:textOutline w14:w="0" w14:cap="flat" w14:cmpd="sng" w14:algn="ctr">
            <w14:noFill/>
            <w14:prstDash w14:val="solid"/>
            <w14:bevel/>
          </w14:textOutline>
        </w:rPr>
        <w:t>, 2006</w:t>
      </w:r>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14:textOutline w14:w="0" w14:cap="flat" w14:cmpd="sng" w14:algn="ctr">
            <w14:noFill/>
            <w14:prstDash w14:val="solid"/>
            <w14:bevel/>
          </w14:textOutline>
        </w:rPr>
        <w:t>Liadaki</w:t>
      </w:r>
      <w:r w:rsidRPr="008275EC">
        <w:rPr>
          <w:rFonts w:eastAsia="Arial Unicode MS"/>
          <w:color w:val="000000"/>
          <w:szCs w:val="24"/>
          <w:bdr w:val="nil"/>
          <w:lang w:val="el-GR"/>
          <w14:textOutline w14:w="0" w14:cap="flat" w14:cmpd="sng" w14:algn="ctr">
            <w14:noFill/>
            <w14:prstDash w14:val="solid"/>
            <w14:bevel/>
          </w14:textOutline>
        </w:rPr>
        <w:t xml:space="preserve"> &amp; </w:t>
      </w:r>
      <w:r w:rsidRPr="008275EC">
        <w:rPr>
          <w:rFonts w:eastAsia="Arial Unicode MS"/>
          <w:color w:val="000000"/>
          <w:szCs w:val="24"/>
          <w:bdr w:val="nil"/>
          <w14:textOutline w14:w="0" w14:cap="flat" w14:cmpd="sng" w14:algn="ctr">
            <w14:noFill/>
            <w14:prstDash w14:val="solid"/>
            <w14:bevel/>
          </w14:textOutline>
        </w:rPr>
        <w:t>Gaganis</w:t>
      </w:r>
      <w:r w:rsidRPr="008275EC">
        <w:rPr>
          <w:rFonts w:eastAsia="Arial Unicode MS"/>
          <w:color w:val="000000"/>
          <w:szCs w:val="24"/>
          <w:bdr w:val="nil"/>
          <w:lang w:val="el-GR"/>
          <w14:textOutline w14:w="0" w14:cap="flat" w14:cmpd="sng" w14:algn="ctr">
            <w14:noFill/>
            <w14:prstDash w14:val="solid"/>
            <w14:bevel/>
          </w14:textOutline>
        </w:rPr>
        <w:t>, 2010</w:t>
      </w:r>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14:textOutline w14:w="0" w14:cap="flat" w14:cmpd="sng" w14:algn="ctr">
            <w14:noFill/>
            <w14:prstDash w14:val="solid"/>
            <w14:bevel/>
          </w14:textOutline>
        </w:rPr>
        <w:t>Pasiouras</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el-GR"/>
          <w14:textOutline w14:w="0" w14:cap="flat" w14:cmpd="sng" w14:algn="ctr">
            <w14:noFill/>
            <w14:prstDash w14:val="solid"/>
            <w14:bevel/>
          </w14:textOutline>
        </w:rPr>
        <w:t>2008)</w:t>
      </w:r>
      <w:r w:rsidRPr="008275EC">
        <w:rPr>
          <w:rFonts w:eastAsia="Arial Unicode MS"/>
          <w:color w:val="000000"/>
          <w:szCs w:val="24"/>
          <w:bdr w:val="nil"/>
          <w:lang w:val="pt-PT"/>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Για τους σκοπούς της παρούσας ανάλυσης, ο κλάδος που περαιτέρω εξετάστηκε ήταν ο χρηματοοικονομικός κλάδος.</w:t>
      </w:r>
    </w:p>
    <w:p w14:paraId="29D884C9" w14:textId="77777777" w:rsidR="008A04E1" w:rsidRDefault="008275EC" w:rsidP="008A04E1">
      <w:pPr>
        <w:pBdr>
          <w:top w:val="nil"/>
          <w:left w:val="nil"/>
          <w:bottom w:val="nil"/>
          <w:right w:val="nil"/>
          <w:between w:val="nil"/>
          <w:bar w:val="nil"/>
        </w:pBdr>
        <w:spacing w:before="200" w:after="200"/>
        <w:ind w:right="278" w:firstLine="709"/>
        <w:rPr>
          <w:rFonts w:eastAsia="Arial Unicode MS"/>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Αναλυτικότερα, όταν οι έρευνες εστιάζουν σε ένα συγκεκριμένο κλάδο της αγοράς (πετρελαίου και φυσικού αερίου, βαρέου εξοπλισμού και μηχανημάτων), οι αναλυτές κατέληξαν σε ότι ο δείκτης αποδοτικότητας στοιχείων ενεργητικού έχει μικρή και αρνητική, ή εντελώς ασήμαντη, επίδραση στις τιμές των μετοχών των εταιρειών. Ενώ, ο δείκτης αποδοτικότητας στοιχείων ιδίων κεφαλαίων έχει μικρή μεν, αλλά, θετική επίδραση στις τιμές των μετοχών </w:t>
      </w:r>
      <w:r w:rsidR="008A04E1">
        <w:rPr>
          <w:rFonts w:eastAsia="Arial Unicode M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n-GB"/>
          <w14:textOutline w14:w="0" w14:cap="flat" w14:cmpd="sng" w14:algn="ctr">
            <w14:noFill/>
            <w14:prstDash w14:val="solid"/>
            <w14:bevel/>
          </w14:textOutline>
        </w:rPr>
        <w:t>Razak</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en-GB"/>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en-GB"/>
          <w14:textOutline w14:w="0" w14:cap="flat" w14:cmpd="sng" w14:algn="ctr">
            <w14:noFill/>
            <w14:prstDash w14:val="solid"/>
            <w14:bevel/>
          </w14:textOutline>
        </w:rPr>
        <w:t>al</w:t>
      </w:r>
      <w:r w:rsidRPr="008275EC">
        <w:rPr>
          <w:rFonts w:eastAsia="Arial Unicode MS"/>
          <w:color w:val="000000"/>
          <w:szCs w:val="24"/>
          <w:bdr w:val="nil"/>
          <w:lang w:val="el-GR"/>
          <w14:textOutline w14:w="0" w14:cap="flat" w14:cmpd="sng" w14:algn="ctr">
            <w14:noFill/>
            <w14:prstDash w14:val="solid"/>
            <w14:bevel/>
          </w14:textOutline>
        </w:rPr>
        <w:t>., 2020</w:t>
      </w:r>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en-GB"/>
          <w14:textOutline w14:w="0" w14:cap="flat" w14:cmpd="sng" w14:algn="ctr">
            <w14:noFill/>
            <w14:prstDash w14:val="solid"/>
            <w14:bevel/>
          </w14:textOutline>
        </w:rPr>
        <w:t>Saleh</w:t>
      </w:r>
      <w:r w:rsidRPr="008275EC">
        <w:rPr>
          <w:rFonts w:eastAsia="Arial Unicode MS"/>
          <w:color w:val="000000"/>
          <w:szCs w:val="24"/>
          <w:bdr w:val="nil"/>
          <w:lang w:val="el-GR"/>
          <w14:textOutline w14:w="0" w14:cap="flat" w14:cmpd="sng" w14:algn="ctr">
            <w14:noFill/>
            <w14:prstDash w14:val="solid"/>
            <w14:bevel/>
          </w14:textOutline>
        </w:rPr>
        <w:t xml:space="preserve">, 2015). Αντιθέτως, όταν οι έρευνες εστιάζονται πάνω </w:t>
      </w:r>
      <w:r w:rsidRPr="008275EC">
        <w:rPr>
          <w:rFonts w:eastAsia="Arial Unicode MS"/>
          <w:color w:val="000000"/>
          <w:szCs w:val="24"/>
          <w:bdr w:val="nil"/>
          <w:lang w:val="el-GR"/>
          <w14:textOutline w14:w="0" w14:cap="flat" w14:cmpd="sng" w14:algn="ctr">
            <w14:noFill/>
            <w14:prstDash w14:val="solid"/>
            <w14:bevel/>
          </w14:textOutline>
        </w:rPr>
        <w:lastRenderedPageBreak/>
        <w:t xml:space="preserve">σε διαφορετικές εταιρείες και κλάδους ενός χρηματιστηριακού δείκτη, οι αναλυτές κατέληξαν στο ότι </w:t>
      </w:r>
      <w:bookmarkStart w:id="36" w:name="_Hlk84182364"/>
      <w:r w:rsidRPr="008275EC">
        <w:rPr>
          <w:rFonts w:eastAsia="Arial Unicode MS"/>
          <w:color w:val="000000"/>
          <w:szCs w:val="24"/>
          <w:bdr w:val="nil"/>
          <w:lang w:val="el-GR"/>
          <w14:textOutline w14:w="0" w14:cap="flat" w14:cmpd="sng" w14:algn="ctr">
            <w14:noFill/>
            <w14:prstDash w14:val="solid"/>
            <w14:bevel/>
          </w14:textOutline>
        </w:rPr>
        <w:t xml:space="preserve">ο δείκτης αποδοτικότητας στοιχείων ενεργητικού έχει θετική και σημαντική επίδραση στις τιμές των μετοχών. Ο δείκτης αποδοτικότητας στοιχείων ιδίων κεφαλαίων έχει ασήμαντη επίδραση στην παραπάνω σχέση. Ενώ, ο δείκτης των κερδών ανά μετοχή έχει σημαντική αρνητική επίδραση στις τιμές των μετοχών των εταιρειών </w:t>
      </w:r>
      <w:bookmarkEnd w:id="36"/>
      <w:r w:rsidRPr="008275EC">
        <w:rPr>
          <w:rFonts w:eastAsia="Arial Unicode M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n-GB"/>
          <w14:textOutline w14:w="0" w14:cap="flat" w14:cmpd="sng" w14:algn="ctr">
            <w14:noFill/>
            <w14:prstDash w14:val="solid"/>
            <w14:bevel/>
          </w14:textOutline>
        </w:rPr>
        <w:t>Anwaar</w:t>
      </w:r>
      <w:r w:rsidRPr="008275EC">
        <w:rPr>
          <w:rFonts w:eastAsia="Arial Unicode MS"/>
          <w:color w:val="000000"/>
          <w:szCs w:val="24"/>
          <w:bdr w:val="nil"/>
          <w:lang w:val="el-GR"/>
          <w14:textOutline w14:w="0" w14:cap="flat" w14:cmpd="sng" w14:algn="ctr">
            <w14:noFill/>
            <w14:prstDash w14:val="solid"/>
            <w14:bevel/>
          </w14:textOutline>
        </w:rPr>
        <w:t>, 2016</w:t>
      </w:r>
      <w:r w:rsidR="008A04E1">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en-GB"/>
          <w14:textOutline w14:w="0" w14:cap="flat" w14:cmpd="sng" w14:algn="ctr">
            <w14:noFill/>
            <w14:prstDash w14:val="solid"/>
            <w14:bevel/>
          </w14:textOutline>
        </w:rPr>
        <w:t>Rengaraju</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en-GB"/>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en-GB"/>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2020).</w:t>
      </w:r>
    </w:p>
    <w:p w14:paraId="6685149F" w14:textId="77777777" w:rsidR="008A04E1" w:rsidRDefault="008275EC" w:rsidP="008A04E1">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Το αξιοσημείωτο είναι ότι όταν οι έρευνες εστιάζονται συγκεκριμένα, στον χρηματοπιστωτικό κλάδο, τα αποτελέσματα των ερευνητών δεν είναι καθολικά. Από τη μια πλευρά, υπάρχουν έρευνες που συμφωνούν με τα παραπάνω αποτελέσματα των ερευνών στο σύνολο των χρηματιστηριακών δεικτών</w:t>
      </w:r>
      <w:r w:rsidRPr="008275EC">
        <w:rPr>
          <w:rFonts w:eastAsia="Arial Unicode MS"/>
          <w:color w:val="000000"/>
          <w:szCs w:val="24"/>
          <w:bdr w:val="nil"/>
          <w:vertAlign w:val="superscript"/>
          <w:lang w:val="el-GR"/>
          <w14:textOutline w14:w="0" w14:cap="flat" w14:cmpd="sng" w14:algn="ctr">
            <w14:noFill/>
            <w14:prstDash w14:val="solid"/>
            <w14:bevel/>
          </w14:textOutline>
        </w:rPr>
        <w:footnoteReference w:id="3"/>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color w:val="000000"/>
          <w:szCs w:val="24"/>
          <w:bdr w:val="nil"/>
          <w:lang w:val="en-GB"/>
          <w14:textOutline w14:w="0" w14:cap="flat" w14:cmpd="sng" w14:algn="ctr">
            <w14:noFill/>
            <w14:prstDash w14:val="solid"/>
            <w14:bevel/>
          </w14:textOutline>
        </w:rPr>
        <w:t>Idowu</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en-GB"/>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en-GB"/>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2018). Από την άλλη πλευρά, υπάρχουν έρευνες που καταλήγουν στο γεγονός ότι η χρηματοοικονομική απόδοση και τα κέρδη ανά μετοχή των χρηματοπιστωτικών οργανισμών έχουν αρνητική και ασήμαντη επίδραση στις τιμές των μετοχών αυτών των οργανισμών (</w:t>
      </w:r>
      <w:r w:rsidRPr="008275EC">
        <w:rPr>
          <w:rFonts w:eastAsia="Arial Unicode MS"/>
          <w:color w:val="000000"/>
          <w:szCs w:val="24"/>
          <w:bdr w:val="nil"/>
          <w:lang w:val="en-GB"/>
          <w14:textOutline w14:w="0" w14:cap="flat" w14:cmpd="sng" w14:algn="ctr">
            <w14:noFill/>
            <w14:prstDash w14:val="solid"/>
            <w14:bevel/>
          </w14:textOutline>
        </w:rPr>
        <w:t>Hove</w:t>
      </w:r>
      <w:r w:rsidRPr="008275EC">
        <w:rPr>
          <w:rFonts w:eastAsia="Arial Unicode M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en-GB"/>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en-GB"/>
          <w14:textOutline w14:w="0" w14:cap="flat" w14:cmpd="sng" w14:algn="ctr">
            <w14:noFill/>
            <w14:prstDash w14:val="solid"/>
            <w14:bevel/>
          </w14:textOutline>
        </w:rPr>
        <w:t>al</w:t>
      </w:r>
      <w:r w:rsidRPr="008275EC">
        <w:rPr>
          <w:rFonts w:eastAsia="Arial Unicode MS"/>
          <w:color w:val="000000"/>
          <w:szCs w:val="24"/>
          <w:bdr w:val="nil"/>
          <w:lang w:val="el-GR"/>
          <w14:textOutline w14:w="0" w14:cap="flat" w14:cmpd="sng" w14:algn="ctr">
            <w14:noFill/>
            <w14:prstDash w14:val="solid"/>
            <w14:bevel/>
          </w14:textOutline>
        </w:rPr>
        <w:t xml:space="preserve">., 2020). Οι διαφορές αυτές μπορούν να εξηγηθούν από τις ιδιαιτερότητες του κλάδου αυτού παγκοσμίως, αλλά και από τις σημαντικές μεταβολές που υπέστη ο κλάδος από την πρόσφατη, παγκόσμια, οικονομική κρίση. Σχετικά με τους χρηματοπιστωτικούς κινδύνους, οι έρευνες πάνω στους τραπεζικούς οργανισμούς έχουν δείξει ότι ο κίνδυνος επιτοκίου έχει θετική, αλλά όχι στατιστικά σημαντική επίδραση, στη σχέση των τιμών των μετοχών με τα κέρδη των τραπεζών. Ενώ, ο πιστωτικός κίνδυνος και ο κίνδυνος ρευστότητας έχουν αρνητική επίδραση (Dimitropoulos </w:t>
      </w:r>
      <w:r w:rsidRPr="008275EC">
        <w:rPr>
          <w:rFonts w:eastAsia="Arial Unicode MS"/>
          <w:i/>
          <w:iCs/>
          <w:color w:val="000000"/>
          <w:szCs w:val="24"/>
          <w:bdr w:val="nil"/>
          <w:lang w:val="en-GB"/>
          <w14:textOutline w14:w="0" w14:cap="flat" w14:cmpd="sng" w14:algn="ctr">
            <w14:noFill/>
            <w14:prstDash w14:val="solid"/>
            <w14:bevel/>
          </w14:textOutline>
        </w:rPr>
        <w:t>et</w:t>
      </w:r>
      <w:r w:rsidRPr="008275EC">
        <w:rPr>
          <w:rFonts w:eastAsia="Arial Unicode MS"/>
          <w:i/>
          <w:iCs/>
          <w:color w:val="000000"/>
          <w:szCs w:val="24"/>
          <w:bdr w:val="nil"/>
          <w:lang w:val="el-GR"/>
          <w14:textOutline w14:w="0" w14:cap="flat" w14:cmpd="sng" w14:algn="ctr">
            <w14:noFill/>
            <w14:prstDash w14:val="solid"/>
            <w14:bevel/>
          </w14:textOutline>
        </w:rPr>
        <w:t xml:space="preserve"> </w:t>
      </w:r>
      <w:r w:rsidRPr="008275EC">
        <w:rPr>
          <w:rFonts w:eastAsia="Arial Unicode MS"/>
          <w:i/>
          <w:iCs/>
          <w:color w:val="000000"/>
          <w:szCs w:val="24"/>
          <w:bdr w:val="nil"/>
          <w:lang w:val="en-GB"/>
          <w14:textOutline w14:w="0" w14:cap="flat" w14:cmpd="sng" w14:algn="ctr">
            <w14:noFill/>
            <w14:prstDash w14:val="solid"/>
            <w14:bevel/>
          </w14:textOutline>
        </w:rPr>
        <w:t>al</w:t>
      </w:r>
      <w:r w:rsidRPr="008275EC">
        <w:rPr>
          <w:rFonts w:eastAsia="Arial Unicode MS"/>
          <w:i/>
          <w:iCs/>
          <w:color w:val="000000"/>
          <w:szCs w:val="24"/>
          <w:bdr w:val="nil"/>
          <w:lang w:val="el-GR"/>
          <w14:textOutline w14:w="0" w14:cap="flat" w14:cmpd="sng" w14:algn="ctr">
            <w14:noFill/>
            <w14:prstDash w14:val="solid"/>
            <w14:bevel/>
          </w14:textOutline>
        </w:rPr>
        <w:t>.,</w:t>
      </w:r>
      <w:r w:rsidRPr="008275EC">
        <w:rPr>
          <w:rFonts w:eastAsia="Arial Unicode MS"/>
          <w:color w:val="000000"/>
          <w:szCs w:val="24"/>
          <w:bdr w:val="nil"/>
          <w:lang w:val="el-GR"/>
          <w14:textOutline w14:w="0" w14:cap="flat" w14:cmpd="sng" w14:algn="ctr">
            <w14:noFill/>
            <w14:prstDash w14:val="solid"/>
            <w14:bevel/>
          </w14:textOutline>
        </w:rPr>
        <w:t xml:space="preserve"> 2010).</w:t>
      </w:r>
    </w:p>
    <w:p w14:paraId="0E0E6AE9" w14:textId="77777777" w:rsidR="008A04E1" w:rsidRDefault="008275EC" w:rsidP="008A04E1">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 xml:space="preserve">Ωστόσο, ως προς τη γνώση μας δεν υπάρχει σχετική μελέτη που να εξετάζει τη σχέση μεταξύ των χρηματοοικονομικών αποδόσεων και των χρηματοοικονομικών κινδύνων με τις αποδόσεις των τιμών μετοχών των τεσσάρων συστημικών ελληνικών τραπεζών. Αυτή η ακαδημαϊκή εργασία θα καλύψει αυτό το κενό. </w:t>
      </w:r>
    </w:p>
    <w:p w14:paraId="76D86B6C" w14:textId="164271A4" w:rsidR="008275EC" w:rsidRPr="008275EC" w:rsidRDefault="008275EC" w:rsidP="008A04E1">
      <w:pPr>
        <w:pBdr>
          <w:top w:val="nil"/>
          <w:left w:val="nil"/>
          <w:bottom w:val="nil"/>
          <w:right w:val="nil"/>
          <w:between w:val="nil"/>
          <w:bar w:val="nil"/>
        </w:pBdr>
        <w:spacing w:before="200" w:after="200"/>
        <w:ind w:right="278" w:firstLine="709"/>
        <w:rPr>
          <w:color w:val="000000"/>
          <w:szCs w:val="24"/>
          <w:bdr w:val="nil"/>
          <w:lang w:val="el-GR"/>
          <w14:textOutline w14:w="0" w14:cap="flat" w14:cmpd="sng" w14:algn="ctr">
            <w14:noFill/>
            <w14:prstDash w14:val="solid"/>
            <w14:bevel/>
          </w14:textOutline>
        </w:rPr>
      </w:pPr>
      <w:r w:rsidRPr="008275EC">
        <w:rPr>
          <w:rFonts w:eastAsia="Arial Unicode MS"/>
          <w:szCs w:val="24"/>
          <w:bdr w:val="nil"/>
          <w:lang w:val="el-GR"/>
        </w:rPr>
        <w:t>Ακολούθως, με βάση τη σχετική βιβλιογραφική ανασκόπηση, η παρούσα πτυχιακή εργασία ελέγχει τις ακόλουθες πέντε ερευνητικές υποθέσεις:</w:t>
      </w:r>
    </w:p>
    <w:p w14:paraId="679DF316" w14:textId="77777777" w:rsidR="008275EC" w:rsidRPr="008275EC" w:rsidRDefault="008275EC" w:rsidP="008A04E1">
      <w:pPr>
        <w:numPr>
          <w:ilvl w:val="0"/>
          <w:numId w:val="15"/>
        </w:numPr>
        <w:pBdr>
          <w:top w:val="nil"/>
          <w:left w:val="nil"/>
          <w:bottom w:val="nil"/>
          <w:right w:val="nil"/>
          <w:between w:val="nil"/>
          <w:bar w:val="nil"/>
        </w:pBdr>
        <w:spacing w:before="200" w:after="200"/>
        <w:contextualSpacing/>
        <w:rPr>
          <w:rFonts w:eastAsia="Helvetica Neue"/>
          <w:szCs w:val="24"/>
          <w:lang w:val="el-GR"/>
        </w:rPr>
      </w:pPr>
      <w:r w:rsidRPr="008275EC">
        <w:rPr>
          <w:rFonts w:eastAsia="Helvetica Neue"/>
          <w:szCs w:val="24"/>
          <w:lang w:val="en-GB"/>
        </w:rPr>
        <w:lastRenderedPageBreak/>
        <w:t>H</w:t>
      </w:r>
      <w:r w:rsidRPr="008275EC">
        <w:rPr>
          <w:rFonts w:eastAsia="Helvetica Neue"/>
          <w:szCs w:val="24"/>
          <w:vertAlign w:val="subscript"/>
          <w:lang w:val="en-GB"/>
        </w:rPr>
        <w:t>o</w:t>
      </w:r>
      <w:r w:rsidRPr="008275EC">
        <w:rPr>
          <w:rFonts w:eastAsia="Helvetica Neue"/>
          <w:szCs w:val="24"/>
          <w:lang w:val="el-GR"/>
        </w:rPr>
        <w:t>: Δεν υπάρχει επίδραση των μεταβολών των κερδών στις αποδόσεις των τιμών των μετοχών.</w:t>
      </w:r>
    </w:p>
    <w:p w14:paraId="31837FB7" w14:textId="77777777" w:rsidR="008275EC" w:rsidRPr="008275EC" w:rsidRDefault="008275EC" w:rsidP="008A04E1">
      <w:pPr>
        <w:spacing w:before="200" w:after="200"/>
        <w:ind w:left="1440" w:firstLine="0"/>
        <w:contextualSpacing/>
        <w:rPr>
          <w:rFonts w:eastAsia="Helvetica Neue"/>
          <w:szCs w:val="24"/>
          <w:lang w:val="el-GR"/>
        </w:rPr>
      </w:pPr>
      <w:r w:rsidRPr="008275EC">
        <w:rPr>
          <w:rFonts w:eastAsia="Helvetica Neue"/>
          <w:szCs w:val="24"/>
          <w:lang w:val="en-GB"/>
        </w:rPr>
        <w:t>H</w:t>
      </w:r>
      <w:r w:rsidRPr="008275EC">
        <w:rPr>
          <w:rFonts w:eastAsia="Helvetica Neue"/>
          <w:szCs w:val="24"/>
          <w:vertAlign w:val="subscript"/>
          <w:lang w:val="el-GR"/>
        </w:rPr>
        <w:t>1</w:t>
      </w:r>
      <w:r w:rsidRPr="008275EC">
        <w:rPr>
          <w:rFonts w:eastAsia="Helvetica Neue"/>
          <w:szCs w:val="24"/>
          <w:lang w:val="el-GR"/>
        </w:rPr>
        <w:t xml:space="preserve">: Υπάρχει </w:t>
      </w:r>
      <w:bookmarkStart w:id="38" w:name="_Hlk82808865"/>
      <w:r w:rsidRPr="008275EC">
        <w:rPr>
          <w:rFonts w:eastAsia="Helvetica Neue"/>
          <w:szCs w:val="24"/>
          <w:lang w:val="el-GR"/>
        </w:rPr>
        <w:t xml:space="preserve">σημαντική επίδραση </w:t>
      </w:r>
      <w:bookmarkEnd w:id="38"/>
      <w:r w:rsidRPr="008275EC">
        <w:rPr>
          <w:rFonts w:eastAsia="Helvetica Neue"/>
          <w:szCs w:val="24"/>
          <w:lang w:val="el-GR"/>
        </w:rPr>
        <w:t>των μεταβολών των κερδών στις αποδόσεις των τιμών των μετοχών.</w:t>
      </w:r>
    </w:p>
    <w:p w14:paraId="1CC75877" w14:textId="77777777" w:rsidR="008275EC" w:rsidRPr="008275EC" w:rsidRDefault="008275EC" w:rsidP="008A04E1">
      <w:pPr>
        <w:numPr>
          <w:ilvl w:val="0"/>
          <w:numId w:val="15"/>
        </w:numPr>
        <w:pBdr>
          <w:top w:val="nil"/>
          <w:left w:val="nil"/>
          <w:bottom w:val="nil"/>
          <w:right w:val="nil"/>
          <w:between w:val="nil"/>
          <w:bar w:val="nil"/>
        </w:pBdr>
        <w:spacing w:before="200" w:after="200"/>
        <w:contextualSpacing/>
        <w:rPr>
          <w:rFonts w:eastAsia="Helvetica Neue"/>
          <w:szCs w:val="24"/>
          <w:lang w:val="el-GR"/>
        </w:rPr>
      </w:pPr>
      <w:r w:rsidRPr="008275EC">
        <w:rPr>
          <w:rFonts w:eastAsia="Helvetica Neue"/>
          <w:szCs w:val="24"/>
          <w:lang w:val="en-GB"/>
        </w:rPr>
        <w:t>H</w:t>
      </w:r>
      <w:r w:rsidRPr="008275EC">
        <w:rPr>
          <w:rFonts w:eastAsia="Helvetica Neue"/>
          <w:szCs w:val="24"/>
          <w:vertAlign w:val="subscript"/>
          <w:lang w:val="en-GB"/>
        </w:rPr>
        <w:t>o</w:t>
      </w:r>
      <w:r w:rsidRPr="008275EC">
        <w:rPr>
          <w:rFonts w:eastAsia="Helvetica Neue"/>
          <w:szCs w:val="24"/>
          <w:lang w:val="el-GR"/>
        </w:rPr>
        <w:t>: Δεν υπάρχει επίδραση των μεταβολών των χρηματοοικονομικών αποδόσεων στις αποδόσεις των τιμών των μετοχών.</w:t>
      </w:r>
    </w:p>
    <w:p w14:paraId="26997D90" w14:textId="77777777" w:rsidR="008275EC" w:rsidRPr="008275EC" w:rsidRDefault="008275EC" w:rsidP="008A04E1">
      <w:pPr>
        <w:spacing w:before="200" w:after="200"/>
        <w:ind w:left="1440" w:firstLine="0"/>
        <w:contextualSpacing/>
        <w:rPr>
          <w:rFonts w:eastAsia="Helvetica Neue"/>
          <w:szCs w:val="24"/>
          <w:lang w:val="el-GR"/>
        </w:rPr>
      </w:pPr>
      <w:r w:rsidRPr="008275EC">
        <w:rPr>
          <w:rFonts w:eastAsia="Helvetica Neue"/>
          <w:szCs w:val="24"/>
          <w:lang w:val="en-GB"/>
        </w:rPr>
        <w:t>H</w:t>
      </w:r>
      <w:r w:rsidRPr="008275EC">
        <w:rPr>
          <w:rFonts w:eastAsia="Helvetica Neue"/>
          <w:szCs w:val="24"/>
          <w:vertAlign w:val="subscript"/>
          <w:lang w:val="el-GR"/>
        </w:rPr>
        <w:t>1</w:t>
      </w:r>
      <w:r w:rsidRPr="008275EC">
        <w:rPr>
          <w:rFonts w:eastAsia="Helvetica Neue"/>
          <w:szCs w:val="24"/>
          <w:lang w:val="el-GR"/>
        </w:rPr>
        <w:t>: Υπάρχει σημαντική επίδραση των μεταβολών των χρηματοοικονομικών αποδόσεων στις αποδόσεις των τιμών των μετοχών.</w:t>
      </w:r>
    </w:p>
    <w:p w14:paraId="6972B6DB" w14:textId="77777777" w:rsidR="008275EC" w:rsidRPr="008275EC" w:rsidRDefault="008275EC" w:rsidP="008A04E1">
      <w:pPr>
        <w:numPr>
          <w:ilvl w:val="0"/>
          <w:numId w:val="15"/>
        </w:numPr>
        <w:pBdr>
          <w:top w:val="nil"/>
          <w:left w:val="nil"/>
          <w:bottom w:val="nil"/>
          <w:right w:val="nil"/>
          <w:between w:val="nil"/>
          <w:bar w:val="nil"/>
        </w:pBdr>
        <w:spacing w:before="200" w:after="200"/>
        <w:contextualSpacing/>
        <w:rPr>
          <w:rFonts w:eastAsia="Helvetica Neue"/>
          <w:szCs w:val="24"/>
          <w:lang w:val="el-GR"/>
        </w:rPr>
      </w:pPr>
      <w:r w:rsidRPr="008275EC">
        <w:rPr>
          <w:rFonts w:eastAsia="Helvetica Neue"/>
          <w:szCs w:val="24"/>
          <w:lang w:val="en-GB"/>
        </w:rPr>
        <w:t>H</w:t>
      </w:r>
      <w:r w:rsidRPr="008275EC">
        <w:rPr>
          <w:rFonts w:eastAsia="Helvetica Neue"/>
          <w:szCs w:val="24"/>
          <w:vertAlign w:val="subscript"/>
          <w:lang w:val="en-GB"/>
        </w:rPr>
        <w:t>o</w:t>
      </w:r>
      <w:r w:rsidRPr="008275EC">
        <w:rPr>
          <w:rFonts w:eastAsia="Helvetica Neue"/>
          <w:szCs w:val="24"/>
          <w:lang w:val="el-GR"/>
        </w:rPr>
        <w:t>: Δεν υπάρχει επίδραση των μεταβολών των κερδών ανά μετοχή στις αποδόσεις των τιμών των μετοχών.</w:t>
      </w:r>
    </w:p>
    <w:p w14:paraId="70DDDC94" w14:textId="77777777" w:rsidR="008275EC" w:rsidRPr="008275EC" w:rsidRDefault="008275EC" w:rsidP="008A04E1">
      <w:pPr>
        <w:spacing w:before="200" w:after="200"/>
        <w:ind w:left="1440" w:firstLine="0"/>
        <w:contextualSpacing/>
        <w:rPr>
          <w:rFonts w:eastAsia="Helvetica Neue"/>
          <w:szCs w:val="24"/>
          <w:lang w:val="el-GR"/>
        </w:rPr>
      </w:pPr>
      <w:r w:rsidRPr="008275EC">
        <w:rPr>
          <w:rFonts w:eastAsia="Helvetica Neue"/>
          <w:szCs w:val="24"/>
          <w:lang w:val="en-GB"/>
        </w:rPr>
        <w:t>H</w:t>
      </w:r>
      <w:r w:rsidRPr="008275EC">
        <w:rPr>
          <w:rFonts w:eastAsia="Helvetica Neue"/>
          <w:szCs w:val="24"/>
          <w:vertAlign w:val="subscript"/>
          <w:lang w:val="el-GR"/>
        </w:rPr>
        <w:t>1</w:t>
      </w:r>
      <w:r w:rsidRPr="008275EC">
        <w:rPr>
          <w:rFonts w:eastAsia="Helvetica Neue"/>
          <w:szCs w:val="24"/>
          <w:lang w:val="el-GR"/>
        </w:rPr>
        <w:t>: Υπάρχει σημαντική επίδραση των μεταβολών των κερδών ανά μετοχή στις αποδόσεις των τιμών των μετοχών.</w:t>
      </w:r>
    </w:p>
    <w:p w14:paraId="0A63FE9F" w14:textId="77777777" w:rsidR="008275EC" w:rsidRPr="008275EC" w:rsidRDefault="008275EC" w:rsidP="008A04E1">
      <w:pPr>
        <w:numPr>
          <w:ilvl w:val="0"/>
          <w:numId w:val="15"/>
        </w:numPr>
        <w:pBdr>
          <w:top w:val="nil"/>
          <w:left w:val="nil"/>
          <w:bottom w:val="nil"/>
          <w:right w:val="nil"/>
          <w:between w:val="nil"/>
          <w:bar w:val="nil"/>
        </w:pBdr>
        <w:spacing w:before="200" w:after="200"/>
        <w:contextualSpacing/>
        <w:rPr>
          <w:rFonts w:eastAsia="Helvetica Neue"/>
          <w:szCs w:val="24"/>
          <w:lang w:val="el-GR"/>
        </w:rPr>
      </w:pPr>
      <w:r w:rsidRPr="008275EC">
        <w:rPr>
          <w:rFonts w:eastAsia="Helvetica Neue"/>
          <w:szCs w:val="24"/>
          <w:lang w:val="en-GB"/>
        </w:rPr>
        <w:t>H</w:t>
      </w:r>
      <w:r w:rsidRPr="008275EC">
        <w:rPr>
          <w:rFonts w:eastAsia="Helvetica Neue"/>
          <w:szCs w:val="24"/>
          <w:vertAlign w:val="subscript"/>
          <w:lang w:val="en-GB"/>
        </w:rPr>
        <w:t>o</w:t>
      </w:r>
      <w:r w:rsidRPr="008275EC">
        <w:rPr>
          <w:rFonts w:eastAsia="Helvetica Neue"/>
          <w:szCs w:val="24"/>
          <w:lang w:val="el-GR"/>
        </w:rPr>
        <w:t>: Δεν υπάρχει επίδραση των μεταβολών των χρηματοπιστωτικών κινδύνων στις αποδόσεις των τιμών των μετοχών.</w:t>
      </w:r>
    </w:p>
    <w:p w14:paraId="392BE01F" w14:textId="77777777" w:rsidR="008275EC" w:rsidRPr="008275EC" w:rsidRDefault="008275EC" w:rsidP="008A04E1">
      <w:pPr>
        <w:spacing w:before="200" w:after="200"/>
        <w:ind w:left="1440" w:firstLine="0"/>
        <w:contextualSpacing/>
        <w:rPr>
          <w:rFonts w:eastAsia="Helvetica Neue"/>
          <w:szCs w:val="24"/>
          <w:lang w:val="el-GR"/>
        </w:rPr>
      </w:pPr>
      <w:r w:rsidRPr="008275EC">
        <w:rPr>
          <w:rFonts w:eastAsia="Helvetica Neue"/>
          <w:szCs w:val="24"/>
        </w:rPr>
        <w:t>H</w:t>
      </w:r>
      <w:r w:rsidRPr="008275EC">
        <w:rPr>
          <w:rFonts w:eastAsia="Helvetica Neue"/>
          <w:szCs w:val="24"/>
          <w:vertAlign w:val="subscript"/>
          <w:lang w:val="el-GR"/>
        </w:rPr>
        <w:t>1</w:t>
      </w:r>
      <w:r w:rsidRPr="008275EC">
        <w:rPr>
          <w:rFonts w:eastAsia="Helvetica Neue"/>
          <w:szCs w:val="24"/>
          <w:lang w:val="el-GR"/>
        </w:rPr>
        <w:t>: Υπάρχει σημαντική επίδραση των μεταβολών των χρηματοπιστωτικών κινδύνων στις αποδόσεις των τιμών των μετοχών.</w:t>
      </w:r>
    </w:p>
    <w:p w14:paraId="6341CE3D" w14:textId="77777777" w:rsidR="008275EC" w:rsidRPr="008275EC" w:rsidRDefault="008275EC" w:rsidP="008A04E1">
      <w:pPr>
        <w:numPr>
          <w:ilvl w:val="0"/>
          <w:numId w:val="15"/>
        </w:numPr>
        <w:pBdr>
          <w:top w:val="nil"/>
          <w:left w:val="nil"/>
          <w:bottom w:val="nil"/>
          <w:right w:val="nil"/>
          <w:between w:val="nil"/>
          <w:bar w:val="nil"/>
        </w:pBdr>
        <w:spacing w:before="200" w:after="200"/>
        <w:contextualSpacing/>
        <w:rPr>
          <w:rFonts w:eastAsia="Helvetica Neue"/>
          <w:szCs w:val="24"/>
          <w:lang w:val="el-GR"/>
        </w:rPr>
      </w:pPr>
      <w:r w:rsidRPr="008275EC">
        <w:rPr>
          <w:rFonts w:eastAsia="Helvetica Neue"/>
          <w:szCs w:val="24"/>
          <w:lang w:val="en-GB"/>
        </w:rPr>
        <w:t>H</w:t>
      </w:r>
      <w:r w:rsidRPr="008275EC">
        <w:rPr>
          <w:rFonts w:eastAsia="Helvetica Neue"/>
          <w:szCs w:val="24"/>
          <w:vertAlign w:val="subscript"/>
          <w:lang w:val="en-GB"/>
        </w:rPr>
        <w:t>o</w:t>
      </w:r>
      <w:r w:rsidRPr="008275EC">
        <w:rPr>
          <w:rFonts w:eastAsia="Helvetica Neue"/>
          <w:szCs w:val="24"/>
          <w:lang w:val="el-GR"/>
        </w:rPr>
        <w:t>: Δεν υπάρχει επίδραση των μεταβολών των χρηματοπιστωτικών κινδύνων στις μεταβολές των κερδών και των κερδών ανά μετοχή.</w:t>
      </w:r>
    </w:p>
    <w:p w14:paraId="6E91F737" w14:textId="77777777" w:rsidR="008275EC" w:rsidRPr="008275EC" w:rsidRDefault="008275EC" w:rsidP="008A04E1">
      <w:pPr>
        <w:spacing w:before="200" w:after="200"/>
        <w:ind w:left="1440" w:firstLine="0"/>
        <w:contextualSpacing/>
        <w:rPr>
          <w:rFonts w:eastAsia="Helvetica Neue"/>
          <w:szCs w:val="24"/>
          <w:lang w:val="el-GR"/>
        </w:rPr>
      </w:pPr>
      <w:r w:rsidRPr="008275EC">
        <w:rPr>
          <w:rFonts w:eastAsia="Helvetica Neue"/>
          <w:szCs w:val="24"/>
          <w:lang w:val="en-GB"/>
        </w:rPr>
        <w:t>H</w:t>
      </w:r>
      <w:r w:rsidRPr="008275EC">
        <w:rPr>
          <w:rFonts w:eastAsia="Helvetica Neue"/>
          <w:szCs w:val="24"/>
          <w:vertAlign w:val="subscript"/>
          <w:lang w:val="el-GR"/>
        </w:rPr>
        <w:t>1</w:t>
      </w:r>
      <w:r w:rsidRPr="008275EC">
        <w:rPr>
          <w:rFonts w:eastAsia="Helvetica Neue"/>
          <w:szCs w:val="24"/>
          <w:lang w:val="el-GR"/>
        </w:rPr>
        <w:t>: Υπάρχει σημαντική επίδραση των μεταβολών των χρηματοπιστωτικών κινδύνων στις μεταβολές των κερδών και των κερδών ανά μετοχή.</w:t>
      </w:r>
    </w:p>
    <w:p w14:paraId="70C5D8E3" w14:textId="77777777" w:rsidR="008275EC" w:rsidRPr="008275EC" w:rsidRDefault="008275EC" w:rsidP="008275EC">
      <w:pPr>
        <w:pBdr>
          <w:top w:val="nil"/>
          <w:left w:val="nil"/>
          <w:bottom w:val="nil"/>
          <w:right w:val="nil"/>
          <w:between w:val="nil"/>
          <w:bar w:val="nil"/>
        </w:pBdr>
        <w:spacing w:before="200" w:after="200"/>
        <w:ind w:right="278" w:firstLine="0"/>
        <w:rPr>
          <w:rFonts w:eastAsia="Arial Unicode MS"/>
          <w:color w:val="000000"/>
          <w:szCs w:val="24"/>
          <w:bdr w:val="nil"/>
          <w:lang w:val="el-GR"/>
          <w14:textOutline w14:w="0" w14:cap="flat" w14:cmpd="sng" w14:algn="ctr">
            <w14:noFill/>
            <w14:prstDash w14:val="solid"/>
            <w14:bevel/>
          </w14:textOutline>
        </w:rPr>
      </w:pPr>
    </w:p>
    <w:p w14:paraId="711E697C" w14:textId="77777777" w:rsidR="008275EC" w:rsidRPr="008275EC" w:rsidRDefault="008275EC" w:rsidP="00B31132">
      <w:pPr>
        <w:pBdr>
          <w:top w:val="nil"/>
          <w:left w:val="nil"/>
          <w:bottom w:val="nil"/>
          <w:right w:val="nil"/>
          <w:between w:val="nil"/>
          <w:bar w:val="nil"/>
        </w:pBdr>
        <w:spacing w:before="200" w:after="200"/>
        <w:ind w:right="278" w:firstLine="709"/>
        <w:rPr>
          <w:rFonts w:eastAsia="Arial Unicode MS"/>
          <w:color w:val="000000"/>
          <w:szCs w:val="24"/>
          <w:bdr w:val="nil"/>
          <w:lang w:val="el-GR"/>
          <w14:textOutline w14:w="0" w14:cap="flat" w14:cmpd="sng" w14:algn="ctr">
            <w14:noFill/>
            <w14:prstDash w14:val="solid"/>
            <w14:bevel/>
          </w14:textOutline>
        </w:rPr>
      </w:pPr>
      <w:r w:rsidRPr="008275EC">
        <w:rPr>
          <w:rFonts w:eastAsia="Arial Unicode MS"/>
          <w:color w:val="000000"/>
          <w:szCs w:val="24"/>
          <w:bdr w:val="nil"/>
          <w:lang w:val="el-GR"/>
          <w14:textOutline w14:w="0" w14:cap="flat" w14:cmpd="sng" w14:algn="ctr">
            <w14:noFill/>
            <w14:prstDash w14:val="solid"/>
            <w14:bevel/>
          </w14:textOutline>
        </w:rPr>
        <w:t>Προκειμένου να απαντηθούν οι εν λόγω ερευνητικές υποθέσεις θα διεξαχθούν αναλύσεις παλινδρόμησης, ελέγχοντας τις συσχετίσεις μεταξύ των κερδών, των χρηματοοικονομικών αποδόσεων, των κερδών ανά μετοχή και των χρηματοπιστωτικών κινδύνων των τεσσάρων συστημικών τραπεζών, με τις τιμές των μετοχών αυτών. Αναλυτική περιγραφή της μεθοδολογίας θα γίνει στο επόμενο κεφάλαιο.</w:t>
      </w:r>
    </w:p>
    <w:p w14:paraId="36C19EFA" w14:textId="77777777" w:rsidR="008275EC" w:rsidRPr="008275EC" w:rsidRDefault="008275EC" w:rsidP="008275EC">
      <w:pPr>
        <w:pBdr>
          <w:top w:val="nil"/>
          <w:left w:val="nil"/>
          <w:bottom w:val="nil"/>
          <w:right w:val="nil"/>
          <w:between w:val="nil"/>
          <w:bar w:val="nil"/>
        </w:pBdr>
        <w:spacing w:before="200" w:after="200"/>
        <w:ind w:right="278" w:firstLine="0"/>
        <w:rPr>
          <w:rFonts w:eastAsia="Calibri"/>
          <w:color w:val="000000"/>
          <w:szCs w:val="24"/>
          <w:bdr w:val="nil"/>
          <w:lang w:val="el-GR"/>
          <w14:textOutline w14:w="0" w14:cap="flat" w14:cmpd="sng" w14:algn="ctr">
            <w14:noFill/>
            <w14:prstDash w14:val="solid"/>
            <w14:bevel/>
          </w14:textOutline>
        </w:rPr>
      </w:pPr>
    </w:p>
    <w:p w14:paraId="76375A2E" w14:textId="77777777" w:rsidR="008275EC" w:rsidRPr="008275EC" w:rsidRDefault="008275EC" w:rsidP="008275EC">
      <w:pPr>
        <w:pBdr>
          <w:top w:val="nil"/>
          <w:left w:val="nil"/>
          <w:bottom w:val="nil"/>
          <w:right w:val="nil"/>
          <w:between w:val="nil"/>
          <w:bar w:val="nil"/>
        </w:pBdr>
        <w:spacing w:before="200" w:after="200"/>
        <w:ind w:right="278" w:firstLine="0"/>
        <w:rPr>
          <w:rFonts w:eastAsia="Calibri"/>
          <w:color w:val="000000"/>
          <w:szCs w:val="24"/>
          <w:bdr w:val="nil"/>
          <w:lang w:val="el-GR"/>
          <w14:textOutline w14:w="0" w14:cap="flat" w14:cmpd="sng" w14:algn="ctr">
            <w14:noFill/>
            <w14:prstDash w14:val="solid"/>
            <w14:bevel/>
          </w14:textOutline>
        </w:rPr>
      </w:pPr>
    </w:p>
    <w:p w14:paraId="448B8D19" w14:textId="77777777" w:rsidR="008275EC" w:rsidRPr="008275EC" w:rsidRDefault="008275EC" w:rsidP="008275EC">
      <w:pPr>
        <w:pBdr>
          <w:top w:val="nil"/>
          <w:left w:val="nil"/>
          <w:bottom w:val="nil"/>
          <w:right w:val="nil"/>
          <w:between w:val="nil"/>
          <w:bar w:val="nil"/>
        </w:pBdr>
        <w:spacing w:line="240" w:lineRule="auto"/>
        <w:ind w:firstLine="0"/>
        <w:jc w:val="left"/>
        <w:rPr>
          <w:rFonts w:eastAsia="Calibri"/>
          <w:color w:val="000000"/>
          <w:szCs w:val="24"/>
          <w:bdr w:val="nil"/>
          <w:lang w:val="el-GR"/>
          <w14:textOutline w14:w="0" w14:cap="flat" w14:cmpd="sng" w14:algn="ctr">
            <w14:noFill/>
            <w14:prstDash w14:val="solid"/>
            <w14:bevel/>
          </w14:textOutline>
        </w:rPr>
      </w:pPr>
      <w:r w:rsidRPr="008275EC">
        <w:rPr>
          <w:rFonts w:eastAsia="Calibri"/>
          <w:szCs w:val="24"/>
          <w:bdr w:val="nil"/>
          <w:lang w:val="el-GR"/>
        </w:rPr>
        <w:br w:type="page"/>
      </w:r>
    </w:p>
    <w:p w14:paraId="38B0D19F" w14:textId="105AB64A" w:rsidR="008275EC" w:rsidRPr="008275EC" w:rsidRDefault="000527B5" w:rsidP="000527B5">
      <w:pPr>
        <w:spacing w:before="200" w:after="200"/>
        <w:ind w:firstLine="0"/>
        <w:jc w:val="center"/>
        <w:rPr>
          <w:rFonts w:eastAsia="Calibri"/>
          <w:b/>
          <w:bCs/>
          <w:sz w:val="28"/>
          <w:szCs w:val="28"/>
          <w:lang w:val="el-GR"/>
        </w:rPr>
      </w:pPr>
      <w:r w:rsidRPr="000527B5">
        <w:rPr>
          <w:rFonts w:eastAsia="Calibri"/>
          <w:b/>
          <w:bCs/>
          <w:sz w:val="28"/>
          <w:szCs w:val="28"/>
          <w:lang w:val="el-GR"/>
        </w:rPr>
        <w:lastRenderedPageBreak/>
        <w:t xml:space="preserve">ΚΕΦΑΛΑΙΟ </w:t>
      </w:r>
      <w:r w:rsidRPr="000527B5">
        <w:rPr>
          <w:rFonts w:eastAsia="Calibri"/>
          <w:b/>
          <w:bCs/>
          <w:sz w:val="28"/>
          <w:szCs w:val="28"/>
        </w:rPr>
        <w:t>III</w:t>
      </w:r>
      <w:r w:rsidRPr="002E7AE8">
        <w:rPr>
          <w:rFonts w:eastAsia="Calibri"/>
          <w:b/>
          <w:bCs/>
          <w:sz w:val="28"/>
          <w:szCs w:val="28"/>
          <w:lang w:val="el-GR"/>
        </w:rPr>
        <w:t xml:space="preserve"> - </w:t>
      </w:r>
      <w:r w:rsidR="008275EC" w:rsidRPr="008275EC">
        <w:rPr>
          <w:rFonts w:eastAsia="Calibri"/>
          <w:b/>
          <w:bCs/>
          <w:sz w:val="28"/>
          <w:szCs w:val="28"/>
          <w:lang w:val="el-GR"/>
        </w:rPr>
        <w:t>ΜΕΘΟΔΟ</w:t>
      </w:r>
      <w:r w:rsidR="005E36AE">
        <w:rPr>
          <w:rFonts w:eastAsia="Calibri"/>
          <w:b/>
          <w:bCs/>
          <w:sz w:val="28"/>
          <w:szCs w:val="28"/>
          <w:lang w:val="el-GR"/>
        </w:rPr>
        <w:t>Σ</w:t>
      </w:r>
    </w:p>
    <w:p w14:paraId="64B09400" w14:textId="77777777" w:rsidR="000527B5" w:rsidRDefault="008275EC" w:rsidP="005E36AE">
      <w:pPr>
        <w:spacing w:before="200" w:after="200"/>
        <w:ind w:firstLine="709"/>
        <w:rPr>
          <w:rFonts w:eastAsia="Calibri"/>
          <w:szCs w:val="24"/>
          <w:lang w:val="el-GR"/>
        </w:rPr>
      </w:pPr>
      <w:r w:rsidRPr="008275EC">
        <w:rPr>
          <w:rFonts w:eastAsia="Calibri"/>
          <w:szCs w:val="24"/>
          <w:lang w:val="el-GR"/>
        </w:rPr>
        <w:t xml:space="preserve">Λαμβάνοντας υπόψη τη σχετική βιβλιογραφική, και λαμβάνοντας υπόψη τη σημασία που έχουν οι χρηματοπιστωτικοί οργανισμοί στις αγορές και στην οικονομία μιας χώρας, στην εργασία αυτή θα επικεντρωθούμε στη σχέση μεταξύ των χρηματοπιστωτικών κινδύνων και της χρηματοοικονομικής απόδοσης με την απόδοση των τιμών των μετοχών των τεσσάρων συστημικών ελληνικών τραπεζών. Ουσιαστικά, η εργασία θα προσπαθήσει να αναλύσει εάν υπάρχει συσχέτιση μεταξύ της χρηματοοικονομικής απόδοσης, της απόδοσης των κερδών ανά μετοχή και των χρηματοπιστωτικών κινδύνων, με την απόδοση των τιμών των μετοχών. Σε περίπτωση που διαπιστωθεί ότι υπάρχει κάποια συσχέτιση, το έγγραφο θα εξετάσει το είδος, τη σημασία και την ισχύ της συσχέτισης αυτής. Κατά τη γνώση μας, δεν έχει πραγματοποιηθεί αντίστοιχη έρευνα σαν αυτή που θέλουμε να διεξάγουμε. </w:t>
      </w:r>
    </w:p>
    <w:p w14:paraId="659EF39B" w14:textId="7501E4B9" w:rsidR="008275EC" w:rsidRPr="008275EC" w:rsidRDefault="008275EC" w:rsidP="005E36AE">
      <w:pPr>
        <w:spacing w:before="200" w:after="200"/>
        <w:ind w:firstLine="709"/>
        <w:rPr>
          <w:rFonts w:eastAsia="Calibri"/>
          <w:szCs w:val="24"/>
          <w:lang w:val="el-GR"/>
        </w:rPr>
      </w:pPr>
      <w:r w:rsidRPr="008275EC">
        <w:rPr>
          <w:rFonts w:eastAsia="Calibri"/>
          <w:szCs w:val="24"/>
          <w:lang w:val="el-GR"/>
        </w:rPr>
        <w:t>Το παρόν κεφάλαιο παρουσιάζει με περισσότερες λεπτομέρειες τη μεθοδολογία της έρευνας που θα ακολουθήσει η εν λόγω πτυχιακή εργασία.</w:t>
      </w:r>
    </w:p>
    <w:p w14:paraId="1DF4747A" w14:textId="77777777" w:rsidR="008275EC" w:rsidRPr="008275EC" w:rsidRDefault="008275EC" w:rsidP="005E36AE">
      <w:pPr>
        <w:spacing w:before="200" w:after="200"/>
        <w:ind w:firstLine="0"/>
        <w:rPr>
          <w:rFonts w:eastAsia="Calibri"/>
          <w:b/>
          <w:bCs/>
          <w:szCs w:val="24"/>
          <w:u w:val="single"/>
          <w:lang w:val="el-GR"/>
        </w:rPr>
      </w:pPr>
    </w:p>
    <w:p w14:paraId="462526C4" w14:textId="170462D7" w:rsidR="008275EC" w:rsidRPr="008275EC" w:rsidRDefault="00B31132" w:rsidP="005E36AE">
      <w:pPr>
        <w:spacing w:before="200" w:after="200"/>
        <w:ind w:firstLine="0"/>
        <w:jc w:val="center"/>
        <w:rPr>
          <w:rFonts w:eastAsia="Calibri"/>
          <w:b/>
          <w:bCs/>
          <w:szCs w:val="24"/>
          <w:lang w:val="el-GR"/>
        </w:rPr>
      </w:pPr>
      <w:r w:rsidRPr="000527B5">
        <w:rPr>
          <w:rFonts w:eastAsia="Calibri"/>
          <w:b/>
          <w:bCs/>
          <w:szCs w:val="24"/>
          <w:lang w:val="el-GR"/>
        </w:rPr>
        <w:t>3</w:t>
      </w:r>
      <w:r w:rsidR="008275EC" w:rsidRPr="008275EC">
        <w:rPr>
          <w:rFonts w:eastAsia="Calibri"/>
          <w:b/>
          <w:bCs/>
          <w:szCs w:val="24"/>
          <w:lang w:val="el-GR"/>
        </w:rPr>
        <w:t>.1. ΔΕΙΓΜΑ</w:t>
      </w:r>
    </w:p>
    <w:p w14:paraId="1A4CFAC2" w14:textId="77777777" w:rsidR="008275EC" w:rsidRPr="008275EC" w:rsidRDefault="008275EC" w:rsidP="005E36AE">
      <w:pPr>
        <w:spacing w:before="200" w:after="200"/>
        <w:ind w:firstLine="709"/>
        <w:rPr>
          <w:rFonts w:eastAsia="Calibri"/>
          <w:szCs w:val="24"/>
          <w:lang w:val="el-GR"/>
        </w:rPr>
      </w:pPr>
      <w:r w:rsidRPr="008275EC">
        <w:rPr>
          <w:rFonts w:eastAsia="Calibri"/>
          <w:szCs w:val="24"/>
          <w:lang w:val="el-GR"/>
        </w:rPr>
        <w:t>Το δείγμα της εν λόγω ανάλυσης αποτελείται από τις τέσσερις συστημικές ελληνικές τράπεζες, οι οποίες αποτελούν και τα μεγαλύτερα τραπεζικά ιδρύματα της Ελλάδας και έχουν σημαντική επίπτωση στην ελληνική οικονομία. Αυτές οι τράπεζες είναι:</w:t>
      </w:r>
    </w:p>
    <w:p w14:paraId="163C97E1" w14:textId="77777777" w:rsidR="008275EC" w:rsidRPr="008275EC" w:rsidRDefault="008275EC" w:rsidP="005E36AE">
      <w:pPr>
        <w:numPr>
          <w:ilvl w:val="0"/>
          <w:numId w:val="20"/>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Η Εθνική Τράπεζα της Ελλάδας – ΕΤΕ (κέρδη: € 38 εκατ., ενεργητικό: € 77,50 δις.).</w:t>
      </w:r>
    </w:p>
    <w:p w14:paraId="2D9B5D71" w14:textId="77777777" w:rsidR="008275EC" w:rsidRPr="008275EC" w:rsidRDefault="008275EC" w:rsidP="005E36AE">
      <w:pPr>
        <w:numPr>
          <w:ilvl w:val="0"/>
          <w:numId w:val="20"/>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Η τράπεζα </w:t>
      </w:r>
      <w:r w:rsidRPr="008275EC">
        <w:rPr>
          <w:rFonts w:eastAsia="Calibri"/>
          <w:szCs w:val="24"/>
        </w:rPr>
        <w:t>Eurobank</w:t>
      </w:r>
      <w:r w:rsidRPr="008275EC">
        <w:rPr>
          <w:rFonts w:eastAsia="Calibri"/>
          <w:szCs w:val="24"/>
          <w:lang w:val="el-GR"/>
        </w:rPr>
        <w:t xml:space="preserve"> </w:t>
      </w:r>
      <w:r w:rsidRPr="008275EC">
        <w:rPr>
          <w:rFonts w:eastAsia="Calibri"/>
          <w:szCs w:val="24"/>
        </w:rPr>
        <w:t>Ergasias</w:t>
      </w:r>
      <w:r w:rsidRPr="008275EC">
        <w:rPr>
          <w:rFonts w:eastAsia="Calibri"/>
          <w:szCs w:val="24"/>
          <w:lang w:val="el-GR"/>
        </w:rPr>
        <w:t xml:space="preserve"> – ΕΥΡΩΒ (ζημιά: € 1,20 δις., ενεργητικό: € 67,70 δις.).</w:t>
      </w:r>
    </w:p>
    <w:p w14:paraId="3C5C9590" w14:textId="77777777" w:rsidR="008275EC" w:rsidRPr="008275EC" w:rsidRDefault="008275EC" w:rsidP="005E36AE">
      <w:pPr>
        <w:numPr>
          <w:ilvl w:val="0"/>
          <w:numId w:val="20"/>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Η Τράπεζα Πειραιώς – ΠΕΙΡ (κέρδη: € 662 εκατ., ενεργητικό: € 72,10 δις.).</w:t>
      </w:r>
    </w:p>
    <w:p w14:paraId="46E2832A" w14:textId="77777777" w:rsidR="008275EC" w:rsidRPr="008275EC" w:rsidRDefault="008275EC" w:rsidP="005E36AE">
      <w:pPr>
        <w:numPr>
          <w:ilvl w:val="0"/>
          <w:numId w:val="20"/>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 ΑΛΦΑ (κέρδη: € 103,70 εκατ., ενεργητικό: € 71,20 δις.).</w:t>
      </w:r>
    </w:p>
    <w:p w14:paraId="7ACEB187" w14:textId="77777777" w:rsidR="008275EC" w:rsidRPr="008275EC" w:rsidRDefault="008275EC" w:rsidP="005E36AE">
      <w:pPr>
        <w:spacing w:before="200" w:after="200"/>
        <w:ind w:left="1140" w:firstLine="0"/>
        <w:rPr>
          <w:rFonts w:eastAsia="Calibri"/>
          <w:szCs w:val="24"/>
          <w:lang w:val="el-GR"/>
        </w:rPr>
      </w:pPr>
    </w:p>
    <w:p w14:paraId="4EB9DA04" w14:textId="77777777" w:rsidR="000527B5" w:rsidRDefault="008275EC" w:rsidP="005E36AE">
      <w:pPr>
        <w:spacing w:before="200" w:after="200"/>
        <w:ind w:firstLine="709"/>
        <w:rPr>
          <w:rFonts w:eastAsia="Calibri"/>
          <w:szCs w:val="24"/>
          <w:lang w:val="el-GR"/>
        </w:rPr>
      </w:pPr>
      <w:r w:rsidRPr="008275EC">
        <w:rPr>
          <w:rFonts w:eastAsia="Calibri"/>
          <w:szCs w:val="24"/>
          <w:lang w:val="el-GR"/>
        </w:rPr>
        <w:lastRenderedPageBreak/>
        <w:t xml:space="preserve">Οι εν λόγω τέσσερις συστημικές τράπεζες συγκεντρώνουν περίπου το 90% του ελληνικού τραπεζικού συστήματος. Πέρα από αυτές, άλλη γνωστή ελληνική τράπεζα είναι η </w:t>
      </w:r>
      <w:r w:rsidRPr="008275EC">
        <w:rPr>
          <w:rFonts w:eastAsia="Calibri"/>
          <w:szCs w:val="24"/>
        </w:rPr>
        <w:t>Attica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w:t>
      </w:r>
    </w:p>
    <w:p w14:paraId="79E35EFE" w14:textId="1495B7D3" w:rsidR="008275EC" w:rsidRPr="008275EC" w:rsidRDefault="008275EC" w:rsidP="005E36AE">
      <w:pPr>
        <w:spacing w:before="200" w:after="200"/>
        <w:ind w:firstLine="709"/>
        <w:rPr>
          <w:rFonts w:eastAsia="Calibri"/>
          <w:szCs w:val="24"/>
          <w:lang w:val="el-GR"/>
        </w:rPr>
      </w:pPr>
      <w:r w:rsidRPr="008275EC">
        <w:rPr>
          <w:rFonts w:eastAsia="Calibri"/>
          <w:szCs w:val="24"/>
          <w:lang w:val="el-GR"/>
        </w:rPr>
        <w:t>Σύντομη περιγραφή αυτών των τεσσάρων τραπεζικών ιδρυμάτων γίνεται παρακάτω στην ενότητα.</w:t>
      </w:r>
    </w:p>
    <w:p w14:paraId="22C0235F" w14:textId="77777777" w:rsidR="008275EC" w:rsidRPr="008275EC" w:rsidRDefault="008275EC" w:rsidP="005E36AE">
      <w:pPr>
        <w:spacing w:before="200" w:after="200"/>
        <w:ind w:firstLine="0"/>
        <w:rPr>
          <w:rFonts w:eastAsia="Calibri"/>
          <w:szCs w:val="24"/>
          <w:lang w:val="el-GR"/>
        </w:rPr>
      </w:pPr>
    </w:p>
    <w:p w14:paraId="4019B8F8" w14:textId="1215F752" w:rsidR="008275EC" w:rsidRPr="008275EC" w:rsidRDefault="00B31132" w:rsidP="005E36AE">
      <w:pPr>
        <w:spacing w:before="200" w:after="200"/>
        <w:ind w:firstLine="0"/>
        <w:jc w:val="center"/>
        <w:rPr>
          <w:rFonts w:eastAsia="Calibri"/>
          <w:szCs w:val="24"/>
          <w:lang w:val="el-GR"/>
        </w:rPr>
      </w:pPr>
      <w:r w:rsidRPr="000527B5">
        <w:rPr>
          <w:rFonts w:eastAsia="Calibri"/>
          <w:szCs w:val="24"/>
          <w:lang w:val="el-GR"/>
        </w:rPr>
        <w:t>3</w:t>
      </w:r>
      <w:r w:rsidR="008275EC" w:rsidRPr="008275EC">
        <w:rPr>
          <w:rFonts w:eastAsia="Calibri"/>
          <w:szCs w:val="24"/>
          <w:lang w:val="el-GR"/>
        </w:rPr>
        <w:t>.1.1. ΟΙ 4 ΣΥΣΤΗΜΙΚΕΣ ΕΛΛΗΝΙΚΕΣ ΤΡΑΠΕΖΕΣ</w:t>
      </w:r>
    </w:p>
    <w:p w14:paraId="35D9EA8B" w14:textId="5EB9FEB3" w:rsidR="008275EC" w:rsidRPr="008275EC" w:rsidRDefault="00B31132" w:rsidP="005E36AE">
      <w:pPr>
        <w:spacing w:before="200" w:after="200"/>
        <w:ind w:firstLine="0"/>
        <w:jc w:val="center"/>
        <w:rPr>
          <w:rFonts w:eastAsia="Calibri"/>
          <w:i/>
          <w:iCs/>
          <w:szCs w:val="24"/>
          <w:lang w:val="el-GR"/>
        </w:rPr>
      </w:pPr>
      <w:r w:rsidRPr="000527B5">
        <w:rPr>
          <w:rFonts w:eastAsia="Calibri"/>
          <w:i/>
          <w:iCs/>
          <w:szCs w:val="24"/>
          <w:lang w:val="el-GR"/>
        </w:rPr>
        <w:t>3</w:t>
      </w:r>
      <w:r w:rsidR="008275EC" w:rsidRPr="008275EC">
        <w:rPr>
          <w:rFonts w:eastAsia="Calibri"/>
          <w:i/>
          <w:iCs/>
          <w:szCs w:val="24"/>
          <w:lang w:val="el-GR"/>
        </w:rPr>
        <w:t>.1.1.1. ΕΘΝΙΚΗ ΤΡΑΠΕΖΑ ΤΗΣ ΕΛΛΑΔΑΣ</w:t>
      </w:r>
    </w:p>
    <w:p w14:paraId="490260F2" w14:textId="77777777" w:rsidR="000527B5" w:rsidRDefault="008275EC" w:rsidP="005E36AE">
      <w:pPr>
        <w:spacing w:before="200" w:after="200"/>
        <w:ind w:firstLine="709"/>
        <w:rPr>
          <w:rFonts w:eastAsia="Calibri"/>
          <w:szCs w:val="24"/>
          <w:lang w:val="el-GR"/>
        </w:rPr>
      </w:pPr>
      <w:r w:rsidRPr="008275EC">
        <w:rPr>
          <w:rFonts w:eastAsia="Calibri"/>
          <w:szCs w:val="24"/>
          <w:lang w:val="el-GR"/>
        </w:rPr>
        <w:t>Η Εθνική Τράπεζα της Ελλάδας είναι η μεγαλύτερη και η παλιότερη σε λειτουργία ελληνική τράπεζα. Ιδρύθηκε το 1841, αποτελώντας την πρώτη τράπεζα του -τότε- νεοσύστατου ελληνικού κράτους. Ιδρυτικό μέλος ήταν το τότε ελληνικό κράτος. Το 1880 εισάγεται στο Χρηματιστήριο Αξιών Αθηνών. Από την ίδρυση της, το 1841, μέχρι και το 1928, όπου ιδρύθηκε η Τράπεζα της Ελλάδος, η Εθνική Τράπεζα ήταν υπεύθυνη για την έκδοση του ελληνικού νομίσματος. Το 1999, η μετοχή της τράπεζα εισήχθη στο Χρηματιστήριο της Νέας Υόρκης.</w:t>
      </w:r>
    </w:p>
    <w:p w14:paraId="37355735" w14:textId="04DDB8AC" w:rsidR="008275EC" w:rsidRPr="008275EC" w:rsidRDefault="008275EC" w:rsidP="005E36AE">
      <w:pPr>
        <w:spacing w:before="200" w:after="200"/>
        <w:ind w:firstLine="709"/>
        <w:rPr>
          <w:rFonts w:eastAsia="Calibri"/>
          <w:szCs w:val="24"/>
          <w:lang w:val="el-GR"/>
        </w:rPr>
      </w:pPr>
      <w:r w:rsidRPr="008275EC">
        <w:rPr>
          <w:rFonts w:eastAsia="Calibri"/>
          <w:szCs w:val="24"/>
          <w:lang w:val="el-GR"/>
        </w:rPr>
        <w:t xml:space="preserve">Σήμερα, 180 χρόνια μετά την ίδρυση της, η Εθνική Τράπεζα είναι ένας από τους μεγαλύτερους και ισχυρότερους ομίλους χρηματοοικονομικών προϊόντων και υπηρεσιών στην Ελλάδα, με πάνω από 375 καταστήματα, 1.480 </w:t>
      </w:r>
      <w:r w:rsidRPr="008275EC">
        <w:rPr>
          <w:rFonts w:eastAsia="Calibri"/>
          <w:szCs w:val="24"/>
        </w:rPr>
        <w:t>ATM</w:t>
      </w:r>
      <w:r w:rsidRPr="008275EC">
        <w:rPr>
          <w:rFonts w:eastAsia="Calibri"/>
          <w:szCs w:val="24"/>
          <w:lang w:val="el-GR"/>
        </w:rPr>
        <w:t xml:space="preserve"> και περίπου 9.000 υπαλλήλους, ανά την Ελλάδα. Ενώ, έχει συμβάλει σημαντικά τόσο στην οικονομική στήριξη, όσο και στον αναπτυξιακό και κοινωνικό μετασχηματισμό της χώρας. Ακόμη, η τράπεζα ελέγχει περίπου το 25% της λιανικής τραπεζικής της χώρας. Τέλος, η Εθνική Τράπεζα έχει έντονη παρουσία κυρίως στις χώρες της Νοτιοανατολικής Ευρώπης, με περίπου 85 καταστήματα. Η έδρα της Εθνικής Τράπεζας της Ελλάδος είναι στην Αθήνα, Αιόλου 86.</w:t>
      </w:r>
    </w:p>
    <w:p w14:paraId="145F56D0" w14:textId="77777777" w:rsidR="008275EC" w:rsidRPr="008275EC" w:rsidRDefault="008275EC" w:rsidP="005E36AE">
      <w:pPr>
        <w:spacing w:before="200" w:after="200"/>
        <w:ind w:firstLine="0"/>
        <w:rPr>
          <w:rFonts w:eastAsia="Calibri"/>
          <w:szCs w:val="24"/>
          <w:lang w:val="el-GR"/>
        </w:rPr>
      </w:pPr>
    </w:p>
    <w:p w14:paraId="289212C6" w14:textId="1D9810C8" w:rsidR="008275EC" w:rsidRPr="008275EC" w:rsidRDefault="000527B5" w:rsidP="005E36AE">
      <w:pPr>
        <w:spacing w:before="200" w:after="200"/>
        <w:ind w:firstLine="0"/>
        <w:jc w:val="center"/>
        <w:rPr>
          <w:rFonts w:eastAsia="Calibri"/>
          <w:i/>
          <w:iCs/>
          <w:szCs w:val="24"/>
          <w:lang w:val="el-GR"/>
        </w:rPr>
      </w:pPr>
      <w:r w:rsidRPr="002E7AE8">
        <w:rPr>
          <w:rFonts w:eastAsia="Calibri"/>
          <w:i/>
          <w:iCs/>
          <w:szCs w:val="24"/>
          <w:lang w:val="el-GR"/>
        </w:rPr>
        <w:t>3</w:t>
      </w:r>
      <w:r w:rsidR="008275EC" w:rsidRPr="008275EC">
        <w:rPr>
          <w:rFonts w:eastAsia="Calibri"/>
          <w:i/>
          <w:iCs/>
          <w:szCs w:val="24"/>
          <w:lang w:val="el-GR"/>
        </w:rPr>
        <w:t xml:space="preserve">.1.1.2. </w:t>
      </w:r>
      <w:bookmarkStart w:id="39" w:name="_Hlk84847538"/>
      <w:r w:rsidR="008275EC" w:rsidRPr="008275EC">
        <w:rPr>
          <w:rFonts w:eastAsia="Calibri"/>
          <w:i/>
          <w:iCs/>
          <w:szCs w:val="24"/>
          <w:lang w:val="el-GR"/>
        </w:rPr>
        <w:t>ΤΡΑΠΕΖΑ EUROBANK ERGASIAS</w:t>
      </w:r>
      <w:bookmarkEnd w:id="39"/>
    </w:p>
    <w:p w14:paraId="6E113023" w14:textId="77777777" w:rsidR="000527B5" w:rsidRDefault="008275EC" w:rsidP="005E36AE">
      <w:pPr>
        <w:spacing w:before="200" w:after="200"/>
        <w:ind w:firstLine="709"/>
        <w:rPr>
          <w:rFonts w:eastAsia="Calibri"/>
          <w:szCs w:val="24"/>
          <w:lang w:val="el-GR"/>
        </w:rPr>
      </w:pPr>
      <w:r w:rsidRPr="008275EC">
        <w:rPr>
          <w:rFonts w:eastAsia="Calibri"/>
          <w:szCs w:val="24"/>
          <w:lang w:val="el-GR"/>
        </w:rPr>
        <w:t xml:space="preserve">Η ιστορία της Τράπεζας </w:t>
      </w:r>
      <w:bookmarkStart w:id="40" w:name="_Hlk82879356"/>
      <w:r w:rsidRPr="008275EC">
        <w:rPr>
          <w:rFonts w:eastAsia="Calibri"/>
          <w:szCs w:val="24"/>
        </w:rPr>
        <w:t>Eurobank</w:t>
      </w:r>
      <w:r w:rsidRPr="008275EC">
        <w:rPr>
          <w:rFonts w:eastAsia="Calibri"/>
          <w:szCs w:val="24"/>
          <w:lang w:val="el-GR"/>
        </w:rPr>
        <w:t xml:space="preserve"> </w:t>
      </w:r>
      <w:r w:rsidRPr="008275EC">
        <w:rPr>
          <w:rFonts w:eastAsia="Calibri"/>
          <w:szCs w:val="24"/>
        </w:rPr>
        <w:t>Ergasias</w:t>
      </w:r>
      <w:r w:rsidRPr="008275EC">
        <w:rPr>
          <w:rFonts w:eastAsia="Calibri"/>
          <w:szCs w:val="24"/>
          <w:lang w:val="el-GR"/>
        </w:rPr>
        <w:t xml:space="preserve"> </w:t>
      </w:r>
      <w:bookmarkEnd w:id="40"/>
      <w:r w:rsidRPr="008275EC">
        <w:rPr>
          <w:rFonts w:eastAsia="Calibri"/>
          <w:szCs w:val="24"/>
          <w:lang w:val="el-GR"/>
        </w:rPr>
        <w:t xml:space="preserve">ξεκινάει το 1990, με την ίδρυση της Ευρωεπενδυτικής Τράπεζας. Το 1997 γίνεται η μετονομασία σε Τράπεζα </w:t>
      </w:r>
      <w:r w:rsidRPr="008275EC">
        <w:rPr>
          <w:rFonts w:eastAsia="Calibri"/>
          <w:szCs w:val="24"/>
        </w:rPr>
        <w:t>EFG</w:t>
      </w:r>
      <w:r w:rsidRPr="008275EC">
        <w:rPr>
          <w:rFonts w:eastAsia="Calibri"/>
          <w:szCs w:val="24"/>
          <w:lang w:val="el-GR"/>
        </w:rPr>
        <w:t xml:space="preserve"> </w:t>
      </w:r>
      <w:r w:rsidRPr="008275EC">
        <w:rPr>
          <w:rFonts w:eastAsia="Calibri"/>
          <w:szCs w:val="24"/>
        </w:rPr>
        <w:t>Eurobank</w:t>
      </w:r>
      <w:r w:rsidRPr="008275EC">
        <w:rPr>
          <w:rFonts w:eastAsia="Calibri"/>
          <w:szCs w:val="24"/>
          <w:lang w:val="el-GR"/>
        </w:rPr>
        <w:t xml:space="preserve">. Το 1999, η τράπεζα εισάγεται στο Χρηματιστήριο Αθηνών. Το 2012, η τράπεζα μετονομάζεται σε </w:t>
      </w:r>
      <w:r w:rsidRPr="008275EC">
        <w:rPr>
          <w:rFonts w:eastAsia="Calibri"/>
          <w:szCs w:val="24"/>
        </w:rPr>
        <w:lastRenderedPageBreak/>
        <w:t>Eurobank</w:t>
      </w:r>
      <w:r w:rsidRPr="008275EC">
        <w:rPr>
          <w:rFonts w:eastAsia="Calibri"/>
          <w:szCs w:val="24"/>
          <w:lang w:val="el-GR"/>
        </w:rPr>
        <w:t xml:space="preserve"> </w:t>
      </w:r>
      <w:r w:rsidRPr="008275EC">
        <w:rPr>
          <w:rFonts w:eastAsia="Calibri"/>
          <w:szCs w:val="24"/>
        </w:rPr>
        <w:t>Ergasias</w:t>
      </w:r>
      <w:r w:rsidRPr="008275EC">
        <w:rPr>
          <w:rFonts w:eastAsia="Calibri"/>
          <w:szCs w:val="24"/>
          <w:lang w:val="el-GR"/>
        </w:rPr>
        <w:t xml:space="preserve"> Α.Ε. Στη συνέχεια, κατά τα χρόνια της κρίσης, η τράπεζα </w:t>
      </w:r>
      <w:r w:rsidRPr="008275EC">
        <w:rPr>
          <w:rFonts w:eastAsia="Calibri"/>
          <w:szCs w:val="24"/>
          <w:lang w:val="en-GB"/>
        </w:rPr>
        <w:t>Eurobank</w:t>
      </w:r>
      <w:r w:rsidRPr="008275EC">
        <w:rPr>
          <w:rFonts w:eastAsia="Calibri"/>
          <w:szCs w:val="24"/>
          <w:lang w:val="el-GR"/>
        </w:rPr>
        <w:t xml:space="preserve"> </w:t>
      </w:r>
      <w:r w:rsidRPr="008275EC">
        <w:rPr>
          <w:rFonts w:eastAsia="Calibri"/>
          <w:szCs w:val="24"/>
          <w:lang w:val="en-GB"/>
        </w:rPr>
        <w:t>Ergasias</w:t>
      </w:r>
      <w:r w:rsidRPr="008275EC">
        <w:rPr>
          <w:rFonts w:eastAsia="Calibri"/>
          <w:szCs w:val="24"/>
          <w:lang w:val="el-GR"/>
        </w:rPr>
        <w:t xml:space="preserve"> απορροφά λόγω συγχώνευσης το Νέο Ταχυδρομικό Ταμιευτήριο Ελλάδος ΑΤΕ, και τη Νέα </w:t>
      </w:r>
      <w:r w:rsidRPr="008275EC">
        <w:rPr>
          <w:rFonts w:eastAsia="Calibri"/>
          <w:szCs w:val="24"/>
        </w:rPr>
        <w:t>Proton</w:t>
      </w:r>
      <w:r w:rsidRPr="008275EC">
        <w:rPr>
          <w:rFonts w:eastAsia="Calibri"/>
          <w:szCs w:val="24"/>
          <w:lang w:val="el-GR"/>
        </w:rPr>
        <w:t xml:space="preserve"> Τράπεζα </w:t>
      </w:r>
      <w:r w:rsidRPr="008275EC">
        <w:rPr>
          <w:rFonts w:eastAsia="Calibri"/>
          <w:szCs w:val="24"/>
        </w:rPr>
        <w:t>AE</w:t>
      </w:r>
      <w:r w:rsidRPr="008275EC">
        <w:rPr>
          <w:rFonts w:eastAsia="Calibri"/>
          <w:szCs w:val="24"/>
          <w:lang w:val="el-GR"/>
        </w:rPr>
        <w:t xml:space="preserve">. Η λειτουργική ενοποίηση με το Νέο Ταχυδρομικό Ταμιευτήριο γίνεται το 2014. Όμως, σεβόμενη την ιστορία του Ταχυδρομικού Ταμιευτηρίου, η </w:t>
      </w:r>
      <w:r w:rsidRPr="008275EC">
        <w:rPr>
          <w:rFonts w:eastAsia="Calibri"/>
          <w:szCs w:val="24"/>
        </w:rPr>
        <w:t>Eurobank</w:t>
      </w:r>
      <w:r w:rsidRPr="008275EC">
        <w:rPr>
          <w:rFonts w:eastAsia="Calibri"/>
          <w:szCs w:val="24"/>
          <w:lang w:val="el-GR"/>
        </w:rPr>
        <w:t xml:space="preserve"> διατηρεί διακριτό το δίκτυο των καταστημάτων αυτού, με τη σήμανση Δίκτυο Νέο Ταχυδρομικό Ταμιευτήριο.</w:t>
      </w:r>
    </w:p>
    <w:p w14:paraId="68C510B4" w14:textId="11C92EB2" w:rsidR="008275EC" w:rsidRPr="008275EC" w:rsidRDefault="008275EC" w:rsidP="005E36AE">
      <w:pPr>
        <w:spacing w:before="200" w:after="200"/>
        <w:ind w:firstLine="709"/>
        <w:rPr>
          <w:rFonts w:eastAsia="Calibri"/>
          <w:szCs w:val="24"/>
          <w:lang w:val="el-GR"/>
        </w:rPr>
      </w:pPr>
      <w:r w:rsidRPr="008275EC">
        <w:rPr>
          <w:rFonts w:eastAsia="Calibri"/>
          <w:szCs w:val="24"/>
          <w:lang w:val="el-GR"/>
        </w:rPr>
        <w:t xml:space="preserve">Σήμερα, σχεδόν 30 χρόνια από την ίδρυση της, η εταιρεία αποτελεί έναν από τους μεγαλύτερους χρηματοοικονομικούς ομίλους της χώρας, παρέχοντας εξελιγμένα χρηματοπιστωτικά προϊόντα και υπηρεσίες στους πελάτες τους, ενώ έχει και διεθνή παρουσία σε έξι χώρες (κυρίως στη Νοτιοανατολική Ευρώπη, το Ηνωμένο Βασίλειο και την Κύπρο). Η τράπεζα </w:t>
      </w:r>
      <w:r w:rsidRPr="008275EC">
        <w:rPr>
          <w:rFonts w:eastAsia="Calibri"/>
          <w:szCs w:val="24"/>
        </w:rPr>
        <w:t>Eurobank</w:t>
      </w:r>
      <w:r w:rsidRPr="008275EC">
        <w:rPr>
          <w:rFonts w:eastAsia="Calibri"/>
          <w:szCs w:val="24"/>
          <w:lang w:val="el-GR"/>
        </w:rPr>
        <w:t xml:space="preserve"> </w:t>
      </w:r>
      <w:r w:rsidRPr="008275EC">
        <w:rPr>
          <w:rFonts w:eastAsia="Calibri"/>
          <w:szCs w:val="24"/>
        </w:rPr>
        <w:t>Ergasias</w:t>
      </w:r>
      <w:r w:rsidRPr="008275EC">
        <w:rPr>
          <w:rFonts w:eastAsia="Calibri"/>
          <w:szCs w:val="24"/>
          <w:lang w:val="el-GR"/>
        </w:rPr>
        <w:t xml:space="preserve"> έχει περισσότερα από 620 σημεία εξυπηρέτησης, και απασχολεί πάνω από 11.329 εργαζομένους. Η έδρα του οργανισμού είναι στην Αθήνα, Όθωνος 8.</w:t>
      </w:r>
    </w:p>
    <w:p w14:paraId="6B1EB104" w14:textId="77777777" w:rsidR="008275EC" w:rsidRPr="008275EC" w:rsidRDefault="008275EC" w:rsidP="005E36AE">
      <w:pPr>
        <w:spacing w:before="200" w:after="200"/>
        <w:ind w:firstLine="0"/>
        <w:rPr>
          <w:rFonts w:eastAsia="Calibri"/>
          <w:szCs w:val="24"/>
          <w:lang w:val="el-GR"/>
        </w:rPr>
      </w:pPr>
    </w:p>
    <w:p w14:paraId="1379C850" w14:textId="10E50B47" w:rsidR="008275EC" w:rsidRPr="008275EC" w:rsidRDefault="000527B5" w:rsidP="005E36AE">
      <w:pPr>
        <w:spacing w:before="200" w:after="200"/>
        <w:ind w:firstLine="0"/>
        <w:jc w:val="center"/>
        <w:rPr>
          <w:rFonts w:eastAsia="Calibri"/>
          <w:i/>
          <w:iCs/>
          <w:szCs w:val="24"/>
          <w:lang w:val="el-GR"/>
        </w:rPr>
      </w:pPr>
      <w:r w:rsidRPr="000527B5">
        <w:rPr>
          <w:rFonts w:eastAsia="Calibri"/>
          <w:i/>
          <w:iCs/>
          <w:szCs w:val="24"/>
          <w:lang w:val="el-GR"/>
        </w:rPr>
        <w:t>3</w:t>
      </w:r>
      <w:r w:rsidR="008275EC" w:rsidRPr="008275EC">
        <w:rPr>
          <w:rFonts w:eastAsia="Calibri"/>
          <w:i/>
          <w:iCs/>
          <w:szCs w:val="24"/>
          <w:lang w:val="el-GR"/>
        </w:rPr>
        <w:t xml:space="preserve">.1.1.3. </w:t>
      </w:r>
      <w:bookmarkStart w:id="41" w:name="_Hlk84865095"/>
      <w:r w:rsidR="008275EC" w:rsidRPr="008275EC">
        <w:rPr>
          <w:rFonts w:eastAsia="Calibri"/>
          <w:i/>
          <w:iCs/>
          <w:szCs w:val="24"/>
          <w:lang w:val="el-GR"/>
        </w:rPr>
        <w:t>ΤΡΑΠΕΖΑ ΠΕΙΡΑΙΩΣ</w:t>
      </w:r>
      <w:bookmarkEnd w:id="41"/>
    </w:p>
    <w:p w14:paraId="17FA1AC3" w14:textId="77777777" w:rsidR="000527B5" w:rsidRDefault="008275EC" w:rsidP="005E36AE">
      <w:pPr>
        <w:spacing w:before="200" w:after="200"/>
        <w:ind w:firstLine="709"/>
        <w:rPr>
          <w:rFonts w:eastAsia="Calibri"/>
          <w:szCs w:val="24"/>
          <w:lang w:val="el-GR"/>
        </w:rPr>
      </w:pPr>
      <w:r w:rsidRPr="008275EC">
        <w:rPr>
          <w:rFonts w:eastAsia="Calibri"/>
          <w:szCs w:val="24"/>
          <w:lang w:val="el-GR"/>
        </w:rPr>
        <w:t xml:space="preserve">Η ιστορία της Τράπεζας Πειραιώς ξεκίνησε το 1916, όπου και λειτουργούσε ως ιδιωτική τράπεζα. Δύο χρόνια αργότερα, το 1918, η τράπεζα εισάγεται στο Χρηματιστήριο Αθηνών. Το 1975, όντας ήδη από το 1963 κάτω από τον έλεγχο του ομίλου της Εμπορικής Τράπεζας, η Τράπεζα Πειραιώς περνά υπό κρατικό έλεγχο. Γίνεται πάλι ιδιωτικός οργανισμό το 1991. Στη συνέχεια, κατά τα χρόνια της κρίσης, η Τράπεζα Πειραιώς προέβη σε μια σειρά επιτυχημένων συγχωνεύσεων και εξαγορών. Το 2012 απορρόφησε τα στοιχεία του ενεργητικού και του παθητικού του υγιούς τμήματος της Αγροτικής Τράπεζας Α.Ε., και εξαγόρασε τη Γενική Τράπεζα από τη </w:t>
      </w:r>
      <w:r w:rsidRPr="00B80A2E">
        <w:rPr>
          <w:rFonts w:eastAsia="Calibri"/>
          <w:szCs w:val="24"/>
          <w:lang w:val="fr-FR"/>
        </w:rPr>
        <w:t>Société General</w:t>
      </w:r>
      <w:r w:rsidRPr="008275EC">
        <w:rPr>
          <w:rFonts w:eastAsia="Calibri"/>
          <w:szCs w:val="24"/>
          <w:lang w:val="el-GR"/>
        </w:rPr>
        <w:t xml:space="preserve">. Το 2013 ολοκληρώθηκε η ενσωμάτωση με τα συστήματα της ΑΤΕ, και ολοκληρώθηκαν οι συγχωνεύσεις για την απόκτηση όλων των καταθέσεων, των δανείων, και των καταστημάτων, των εγχώριων δραστηριοτήτων της Τράπεζας Κύπρου, της Cyprus Popular Bank, και της Ελληνικής Τράπεζας. Τον ίδιο χρόνο ολοκληρώθηκε και η εξαγορά της </w:t>
      </w:r>
      <w:r w:rsidRPr="008275EC">
        <w:rPr>
          <w:rFonts w:eastAsia="Calibri"/>
          <w:szCs w:val="24"/>
          <w:lang w:val="en-GB"/>
        </w:rPr>
        <w:t>Millennium</w:t>
      </w:r>
      <w:r w:rsidRPr="008275EC">
        <w:rPr>
          <w:rFonts w:eastAsia="Calibri"/>
          <w:szCs w:val="24"/>
          <w:lang w:val="el-GR"/>
        </w:rPr>
        <w:t xml:space="preserve"> </w:t>
      </w:r>
      <w:r w:rsidRPr="008275EC">
        <w:rPr>
          <w:rFonts w:eastAsia="Calibri"/>
          <w:szCs w:val="24"/>
          <w:lang w:val="en-GB"/>
        </w:rPr>
        <w:t>Bank</w:t>
      </w:r>
      <w:r w:rsidRPr="008275EC">
        <w:rPr>
          <w:rFonts w:eastAsia="Calibri"/>
          <w:szCs w:val="24"/>
          <w:lang w:val="el-GR"/>
        </w:rPr>
        <w:t xml:space="preserve">. Το 2015 απορρόφησε την Πανελλήνια Τράπεζα.  </w:t>
      </w:r>
    </w:p>
    <w:p w14:paraId="70D79E20" w14:textId="77777777" w:rsidR="000527B5" w:rsidRDefault="008275EC" w:rsidP="005E36AE">
      <w:pPr>
        <w:spacing w:before="200" w:after="200"/>
        <w:ind w:firstLine="709"/>
        <w:rPr>
          <w:rFonts w:eastAsia="Calibri"/>
          <w:szCs w:val="24"/>
          <w:lang w:val="el-GR"/>
        </w:rPr>
      </w:pPr>
      <w:r w:rsidRPr="008275EC">
        <w:rPr>
          <w:rFonts w:eastAsia="Calibri"/>
          <w:szCs w:val="24"/>
          <w:lang w:val="el-GR"/>
        </w:rPr>
        <w:t xml:space="preserve">Σήμερα, η εταιρεία κατέχει ηγετική θέση στην ελληνική αγορά. Έχει μερίδιο αγοράς περίπου το 30% επί των ελληνικών δανείων και περίπου το 30% επί των τραπεζικών </w:t>
      </w:r>
      <w:r w:rsidRPr="008275EC">
        <w:rPr>
          <w:rFonts w:eastAsia="Calibri"/>
          <w:szCs w:val="24"/>
          <w:lang w:val="el-GR"/>
        </w:rPr>
        <w:lastRenderedPageBreak/>
        <w:t>καταθέσεων των πωλητών της χώρας. Έχει πάνω από 300 καταστήματα ανά την Ελλάδα, ενώ απασχολεί πάνω από 11.500 υπαλλήλους. Επίσης, έχει διεθνή παρουσία σε εφτά χώρες, κυρίως στη Νοτιοανατολική Ευρώπη. Διεθνώς, η Τράπεζα Πειραιώς έχει πάνω από 200 καταστήματα.</w:t>
      </w:r>
    </w:p>
    <w:p w14:paraId="5C43B42A" w14:textId="0394719F" w:rsidR="008275EC" w:rsidRDefault="008275EC" w:rsidP="005E36AE">
      <w:pPr>
        <w:spacing w:before="200" w:after="200"/>
        <w:ind w:firstLine="709"/>
        <w:rPr>
          <w:rFonts w:eastAsia="Calibri"/>
          <w:szCs w:val="24"/>
          <w:lang w:val="el-GR"/>
        </w:rPr>
      </w:pPr>
      <w:r w:rsidRPr="008275EC">
        <w:rPr>
          <w:rFonts w:eastAsia="Calibri"/>
          <w:szCs w:val="24"/>
          <w:lang w:val="el-GR"/>
        </w:rPr>
        <w:t>Συνολικά, η Τράπεζα Πειραιώς έχει περίπου 520 καταστήματα. Έδρα της εταιρείας είναι στην Αθήνα, Αμερικής 4.</w:t>
      </w:r>
    </w:p>
    <w:p w14:paraId="29461E39" w14:textId="77777777" w:rsidR="000527B5" w:rsidRPr="008275EC" w:rsidRDefault="000527B5" w:rsidP="005E36AE">
      <w:pPr>
        <w:spacing w:before="200" w:after="200"/>
        <w:ind w:firstLine="709"/>
        <w:rPr>
          <w:rFonts w:eastAsia="Calibri"/>
          <w:szCs w:val="24"/>
          <w:lang w:val="el-GR"/>
        </w:rPr>
      </w:pPr>
    </w:p>
    <w:p w14:paraId="2C6395E9" w14:textId="2A43AD71" w:rsidR="008275EC" w:rsidRPr="008275EC" w:rsidRDefault="000527B5" w:rsidP="005E36AE">
      <w:pPr>
        <w:spacing w:before="200" w:after="200"/>
        <w:ind w:firstLine="0"/>
        <w:jc w:val="center"/>
        <w:rPr>
          <w:rFonts w:eastAsia="Calibri"/>
          <w:i/>
          <w:iCs/>
          <w:szCs w:val="24"/>
          <w:lang w:val="el-GR"/>
        </w:rPr>
      </w:pPr>
      <w:r>
        <w:rPr>
          <w:rFonts w:eastAsia="Calibri"/>
          <w:i/>
          <w:iCs/>
          <w:szCs w:val="24"/>
          <w:lang w:val="el-GR"/>
        </w:rPr>
        <w:t>3</w:t>
      </w:r>
      <w:r w:rsidR="008275EC" w:rsidRPr="008275EC">
        <w:rPr>
          <w:rFonts w:eastAsia="Calibri"/>
          <w:i/>
          <w:iCs/>
          <w:szCs w:val="24"/>
          <w:lang w:val="el-GR"/>
        </w:rPr>
        <w:t>.1.1.4. ALPHA BANK</w:t>
      </w:r>
    </w:p>
    <w:p w14:paraId="33D8E34D" w14:textId="77777777" w:rsidR="000527B5" w:rsidRDefault="008275EC" w:rsidP="005E36AE">
      <w:pPr>
        <w:spacing w:before="200" w:after="200"/>
        <w:ind w:firstLine="709"/>
        <w:rPr>
          <w:rFonts w:eastAsia="Calibri"/>
          <w:szCs w:val="24"/>
          <w:lang w:val="el-GR"/>
        </w:rPr>
      </w:pPr>
      <w:r w:rsidRPr="008275EC">
        <w:rPr>
          <w:rFonts w:eastAsia="Calibri"/>
          <w:szCs w:val="24"/>
          <w:lang w:val="el-GR"/>
        </w:rPr>
        <w:t xml:space="preserve">Η ιστορία της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ξεκίνησε το 1879, στην Καλαμάτα, με την ίδρυση του Εμπορικού Οίκου Ι. Φ. Κωστοπούλου. Ο οίκος λίγο καιρό μετά την ίδρυση του άρχισε να ασχολείται και με τις τραπεζικές δραστηριότητες. Η μετονομασία του οίκου σε Τράπεζα Ι. Φ. Κωστοπούλου έγινε το 1916. Δύο χρόνια αργότερα γίνεται ανώνυμη εταιρεία (1918). Στα χρόνια που ακολούθησαν,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κατάφερε να αντιμετωπίσει τις δυσκολίες που έφερε το τέλος του Β’ Παγκοσμίου Πολέμου, αλλά και να θεωρηθεί πρωτοπόρος στον τομέα του εκσυγχρονισμού του ελληνικού τραπεζικού συστήματος. Το 1999, η τράπεζα εξαγόρασε το 51% των μετοχών της Ιονικής Τράπεζας, πραγματοποιώντας τη μεγαλύτερη ιδιωτικοποίηση που είχε γίνει -έως τότε- στην Ελλάδα. Το 2000, ο οργανισμός μετονομάζεται σε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Κατά τη διάρκεια της οικονομικής κρίσης, το 2013, η τράπεζα εξαγόρασε την Εμπορική Τράπεζα. Το 2014,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εξαγόρασε τις εργασίας του κλάδου λιανικής τραπεζικής Ελλάδος της </w:t>
      </w:r>
      <w:r w:rsidRPr="008275EC">
        <w:rPr>
          <w:rFonts w:eastAsia="Calibri"/>
          <w:szCs w:val="24"/>
        </w:rPr>
        <w:t>Citibank</w:t>
      </w:r>
      <w:r w:rsidRPr="008275EC">
        <w:rPr>
          <w:rFonts w:eastAsia="Calibri"/>
          <w:szCs w:val="24"/>
          <w:lang w:val="el-GR"/>
        </w:rPr>
        <w:t>.</w:t>
      </w:r>
    </w:p>
    <w:p w14:paraId="1BE261CF" w14:textId="3E5A937C" w:rsidR="008275EC" w:rsidRPr="008275EC" w:rsidRDefault="008275EC" w:rsidP="005E36AE">
      <w:pPr>
        <w:spacing w:before="200" w:after="200"/>
        <w:ind w:firstLine="709"/>
        <w:rPr>
          <w:rFonts w:eastAsia="Calibri"/>
          <w:szCs w:val="24"/>
          <w:lang w:val="el-GR"/>
        </w:rPr>
      </w:pPr>
      <w:r w:rsidRPr="008275EC">
        <w:rPr>
          <w:rFonts w:eastAsia="Calibri"/>
          <w:szCs w:val="24"/>
          <w:lang w:val="el-GR"/>
        </w:rPr>
        <w:t xml:space="preserve">Πλέον, περίπου 140 χρόνια από την ίδρυση της,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αποτελεί μια από τις τέσσερις συστημικές ελληνικές τράπεζες, συμβάλλοντας στην οικονομική ανάκαμψή της χώρας. Αριθμεί σε πάνω από 310 καταστήματα, ανά την Ελλάδα. Έχει διεθνή παρουσία σε τέσσερις χώρες. Η έδρα της εταιρείας είναι στην Αθήνα, Σταδίου 40.</w:t>
      </w:r>
    </w:p>
    <w:p w14:paraId="56CF03C3" w14:textId="77777777" w:rsidR="008275EC" w:rsidRPr="008275EC" w:rsidRDefault="008275EC" w:rsidP="005E36AE">
      <w:pPr>
        <w:spacing w:before="200" w:after="200"/>
        <w:ind w:firstLine="0"/>
        <w:rPr>
          <w:rFonts w:eastAsia="Calibri"/>
          <w:szCs w:val="24"/>
          <w:lang w:val="el-GR"/>
        </w:rPr>
      </w:pPr>
    </w:p>
    <w:p w14:paraId="5ED02734" w14:textId="7C86B2E5" w:rsidR="008275EC" w:rsidRPr="008275EC" w:rsidRDefault="000527B5" w:rsidP="005E36AE">
      <w:pPr>
        <w:spacing w:before="200" w:after="200"/>
        <w:ind w:firstLine="0"/>
        <w:jc w:val="center"/>
        <w:rPr>
          <w:rFonts w:eastAsia="Calibri"/>
          <w:szCs w:val="24"/>
          <w:u w:val="thick"/>
          <w:lang w:val="el-GR"/>
        </w:rPr>
      </w:pPr>
      <w:r>
        <w:rPr>
          <w:rFonts w:eastAsia="Calibri"/>
          <w:szCs w:val="24"/>
          <w:lang w:val="el-GR"/>
        </w:rPr>
        <w:t>3</w:t>
      </w:r>
      <w:r w:rsidR="008275EC" w:rsidRPr="008275EC">
        <w:rPr>
          <w:rFonts w:eastAsia="Calibri"/>
          <w:szCs w:val="24"/>
          <w:lang w:val="el-GR"/>
        </w:rPr>
        <w:t>.1.2. ΔΕΔΟΜΕΝΑ</w:t>
      </w:r>
    </w:p>
    <w:p w14:paraId="490EBDE6" w14:textId="77777777" w:rsidR="000527B5" w:rsidRDefault="008275EC" w:rsidP="005E36AE">
      <w:pPr>
        <w:spacing w:before="200" w:after="200"/>
        <w:ind w:firstLine="709"/>
        <w:rPr>
          <w:rFonts w:eastAsia="Calibri"/>
          <w:szCs w:val="24"/>
          <w:lang w:val="el-GR"/>
        </w:rPr>
      </w:pPr>
      <w:r w:rsidRPr="008275EC">
        <w:rPr>
          <w:rFonts w:eastAsia="Calibri"/>
          <w:szCs w:val="24"/>
          <w:lang w:val="el-GR"/>
        </w:rPr>
        <w:t xml:space="preserve">Για τους σκοπούς της ανάλυσης αυτής της εργασίας, θα διεξαχθεί ποσοτική έρευνα, χρησιμοποιώντας δευτερογενή δεδομένα. Λαμβάνοντας υπόψη τις χρηματοοικονομικές </w:t>
      </w:r>
      <w:r w:rsidRPr="008275EC">
        <w:rPr>
          <w:rFonts w:eastAsia="Calibri"/>
          <w:szCs w:val="24"/>
          <w:lang w:val="el-GR"/>
        </w:rPr>
        <w:lastRenderedPageBreak/>
        <w:t>αποδόσεις και τις αποδόσεις διαχείρισης των χρηματοπιστωτικών κινδύνων του δείγματος, η εν λόγω έρευνα θα χρησιμοποιήσει οικονομικά δεδομένα, τα οποία βασίζονται στο καθαρό εισόδημα, στους  δείκτες κερδοφορίας, καθώς και στους δείκτες των χρηματοοικονομικών κινδύνων. Τα απαραίτητα οικονομικά δεδομένα των χρηματοπιστωτικών δεικτών θα συλλεχθούν από τις ετήσιες εκθέσεις και τις οικονομικές καταστάσεις των τεσσάρων συστημικών ελληνικών τραπεζών. Ουσιαστικά, όλα τα απαραίτητα οικονομικά στοιχεία θα συλλεχθούν από τους ισολογισμούς, τις καταστάσεις των ταμειακών ροών και τις καταστάσεις των αποτελεσμάτων χρήσης των εν λόγω χρηματοπιστωτικών ιδρυμάτων.</w:t>
      </w:r>
    </w:p>
    <w:p w14:paraId="122065B6" w14:textId="77777777" w:rsidR="000527B5" w:rsidRDefault="008275EC" w:rsidP="005E36AE">
      <w:pPr>
        <w:spacing w:before="200" w:after="200"/>
        <w:ind w:firstLine="709"/>
        <w:rPr>
          <w:rFonts w:eastAsia="Calibri"/>
          <w:szCs w:val="24"/>
          <w:lang w:val="el-GR"/>
        </w:rPr>
      </w:pPr>
      <w:r w:rsidRPr="008275EC">
        <w:rPr>
          <w:rFonts w:eastAsia="Calibri"/>
          <w:szCs w:val="24"/>
          <w:lang w:val="el-GR"/>
        </w:rPr>
        <w:t xml:space="preserve">Συνεχίζοντας, σχετικά με τις αποδόσεις των τιμών των μετοχών των χρηματοπιστωτικών οργανισμών του δείγματος, τα απαραίτητα δεδομένα θα συλλεχθούν από τις ιστοσελίδες του capital.gr και του </w:t>
      </w:r>
      <w:r w:rsidRPr="008275EC">
        <w:rPr>
          <w:rFonts w:eastAsia="Calibri"/>
          <w:szCs w:val="24"/>
        </w:rPr>
        <w:t>liberal</w:t>
      </w:r>
      <w:r w:rsidRPr="008275EC">
        <w:rPr>
          <w:rFonts w:eastAsia="Calibri"/>
          <w:szCs w:val="24"/>
          <w:lang w:val="el-GR"/>
        </w:rPr>
        <w:t>.</w:t>
      </w:r>
      <w:r w:rsidRPr="008275EC">
        <w:rPr>
          <w:rFonts w:eastAsia="Calibri"/>
          <w:szCs w:val="24"/>
        </w:rPr>
        <w:t>gr</w:t>
      </w:r>
      <w:r w:rsidRPr="008275EC">
        <w:rPr>
          <w:rFonts w:eastAsia="Calibri"/>
          <w:szCs w:val="24"/>
          <w:lang w:val="el-GR"/>
        </w:rPr>
        <w:t>. Οι αποδόσεις των τιμών των μετοχών που θα ληφθούν υπόψη είναι οι αποδόσεις που έχουν οι εν λόγω χρηματοπιστωτικοί οργανισμοί στο Χρηματιστήριο της Αθήνας (ΧΑ), και πιο συγκεκριμένα οι αποδόσεις των εξής δεικτών: ΕΤΕ, ΕΥΡΩΒ, ΠΕΙΡ και ΑΛΦΑ.</w:t>
      </w:r>
    </w:p>
    <w:p w14:paraId="6661A54E" w14:textId="42FD7FE6" w:rsidR="008275EC" w:rsidRPr="008275EC" w:rsidRDefault="008275EC" w:rsidP="005E36AE">
      <w:pPr>
        <w:spacing w:before="200" w:after="200"/>
        <w:ind w:firstLine="709"/>
        <w:rPr>
          <w:rFonts w:eastAsia="Calibri"/>
          <w:szCs w:val="24"/>
          <w:lang w:val="el-GR"/>
        </w:rPr>
      </w:pPr>
      <w:r w:rsidRPr="008275EC">
        <w:rPr>
          <w:rFonts w:eastAsia="Calibri"/>
          <w:szCs w:val="24"/>
          <w:lang w:val="el-GR"/>
        </w:rPr>
        <w:t>Οι μεταβολές των χρηματοοικονομικών δεικτών και οι μεταβολές των δεικτών του χρηματοοικονομικού κινδύνου, καθώς και οι μεταβολές των τιμών των μετοχών των οργανισμών θα εξεταστούν, όχι οι απόλυτες τιμές αυτές. Μετρούνται οι μεταβολές των δεικτών, καθώς θεωρούνται πιο στατιστικά σημαντικό μέγεθος.</w:t>
      </w:r>
    </w:p>
    <w:p w14:paraId="4B0F9493" w14:textId="77777777" w:rsidR="008275EC" w:rsidRPr="008275EC" w:rsidRDefault="008275EC" w:rsidP="005E36AE">
      <w:pPr>
        <w:spacing w:before="200" w:after="200"/>
        <w:ind w:firstLine="0"/>
        <w:rPr>
          <w:rFonts w:eastAsia="Calibri"/>
          <w:szCs w:val="24"/>
          <w:lang w:val="el-GR"/>
        </w:rPr>
      </w:pPr>
    </w:p>
    <w:p w14:paraId="2FC3B32E" w14:textId="69B06E9A" w:rsidR="008275EC" w:rsidRPr="008275EC" w:rsidRDefault="000527B5" w:rsidP="005E36AE">
      <w:pPr>
        <w:spacing w:before="200" w:after="200"/>
        <w:ind w:firstLine="0"/>
        <w:jc w:val="center"/>
        <w:rPr>
          <w:rFonts w:eastAsia="Calibri"/>
          <w:szCs w:val="24"/>
          <w:lang w:val="el-GR"/>
        </w:rPr>
      </w:pPr>
      <w:r w:rsidRPr="000527B5">
        <w:rPr>
          <w:rFonts w:eastAsia="Calibri"/>
          <w:szCs w:val="24"/>
          <w:lang w:val="el-GR"/>
        </w:rPr>
        <w:t>3</w:t>
      </w:r>
      <w:r w:rsidR="008275EC" w:rsidRPr="008275EC">
        <w:rPr>
          <w:rFonts w:eastAsia="Calibri"/>
          <w:szCs w:val="24"/>
          <w:lang w:val="el-GR"/>
        </w:rPr>
        <w:t>.1.3. ΕΞΕΤΑΖΟΜΕΝΗ ΠΕΡΙΟΔΟΣ</w:t>
      </w:r>
    </w:p>
    <w:p w14:paraId="3036F930" w14:textId="77777777" w:rsidR="000527B5" w:rsidRDefault="008275EC" w:rsidP="005E36AE">
      <w:pPr>
        <w:spacing w:before="200" w:after="200"/>
        <w:ind w:firstLine="709"/>
        <w:rPr>
          <w:rFonts w:eastAsia="Calibri"/>
          <w:szCs w:val="24"/>
          <w:lang w:val="el-GR"/>
        </w:rPr>
      </w:pPr>
      <w:r w:rsidRPr="008275EC">
        <w:rPr>
          <w:rFonts w:eastAsia="Calibri"/>
          <w:szCs w:val="24"/>
          <w:lang w:val="el-GR"/>
        </w:rPr>
        <w:t xml:space="preserve">Στο εν λόγω ερευνητικό έργο, θα αναλυθεί η σχέση μεταξύ των κερδών, των χρηματοπιστωτικών κινδύνων και των τιμών των μετοχών των τεσσάρων ελληνικών συστημικών τραπεζών, για μια εξεταζόμενη περίοδο συνολικής διάρκειας 16 ετών, δηλαδή από το 2005 έως και το 2020. Γενικά, θα αναλυθούν 64 παρατηρήσεις. Επιλέχθηκε η εν λόγω χρονική περίοδος, καθώς περιλαμβάνει διακυμάνσεις λόγω της παγκόσμιας χρηματοπιστωτικής κρίσης του 2007 – 2009, αλλά και διακυμάνσεις λόγω των συνεχών αλλαγών που συνέβησαν στον </w:t>
      </w:r>
      <w:bookmarkStart w:id="42" w:name="_Hlk71053616"/>
      <w:r w:rsidRPr="008275EC">
        <w:rPr>
          <w:rFonts w:eastAsia="Calibri"/>
          <w:szCs w:val="24"/>
          <w:lang w:val="el-GR"/>
        </w:rPr>
        <w:t>ελληνικό τραπεζικό κλάδο</w:t>
      </w:r>
      <w:bookmarkEnd w:id="42"/>
      <w:r w:rsidRPr="008275EC">
        <w:rPr>
          <w:rFonts w:eastAsia="Calibri"/>
          <w:szCs w:val="24"/>
          <w:lang w:val="el-GR"/>
        </w:rPr>
        <w:t xml:space="preserve">, από το 2010 και ύστερα (συγχωνεύσεις και εξαγορές, </w:t>
      </w:r>
      <w:r w:rsidRPr="008275EC">
        <w:rPr>
          <w:rFonts w:eastAsia="Calibri"/>
          <w:szCs w:val="24"/>
        </w:rPr>
        <w:t>capital</w:t>
      </w:r>
      <w:r w:rsidRPr="008275EC">
        <w:rPr>
          <w:rFonts w:eastAsia="Calibri"/>
          <w:szCs w:val="24"/>
          <w:lang w:val="el-GR"/>
        </w:rPr>
        <w:t xml:space="preserve"> </w:t>
      </w:r>
      <w:r w:rsidRPr="008275EC">
        <w:rPr>
          <w:rFonts w:eastAsia="Calibri"/>
          <w:szCs w:val="24"/>
        </w:rPr>
        <w:t>controls</w:t>
      </w:r>
      <w:r w:rsidRPr="008275EC">
        <w:rPr>
          <w:rFonts w:eastAsia="Calibri"/>
          <w:szCs w:val="24"/>
          <w:lang w:val="el-GR"/>
        </w:rPr>
        <w:t xml:space="preserve">, πακέτα στήριξης). </w:t>
      </w:r>
    </w:p>
    <w:p w14:paraId="65DB0037" w14:textId="376FD633" w:rsidR="008275EC" w:rsidRPr="008275EC" w:rsidRDefault="008275EC" w:rsidP="005E36AE">
      <w:pPr>
        <w:spacing w:before="200" w:after="200"/>
        <w:ind w:firstLine="709"/>
        <w:rPr>
          <w:rFonts w:eastAsia="Calibri"/>
          <w:szCs w:val="24"/>
          <w:lang w:val="el-GR"/>
        </w:rPr>
      </w:pPr>
      <w:r w:rsidRPr="008275EC">
        <w:rPr>
          <w:rFonts w:eastAsia="Calibri"/>
          <w:szCs w:val="24"/>
          <w:lang w:val="el-GR"/>
        </w:rPr>
        <w:lastRenderedPageBreak/>
        <w:t>Κατά συνέπεια, η χρονική περίοδος προσφέρει σημαντικές παρατηρήσεις και σημαντικές αλλαγές για τον ελληνικό τραπεζικό κλάδο. Οι χρηματοπιστωτικοί οργανισμοί του δείγματος της παρούσας πτυχιακής εργασίας, λόγω του μεγέθους τους και της σημαντικής παρουσίας τους στην ελληνική αγορά, επηρεάστηκαν από αυτές τις αλλαγές που έφερε η κρίση</w:t>
      </w:r>
      <w:r w:rsidR="002E7AE8">
        <w:rPr>
          <w:rFonts w:eastAsia="Calibri"/>
          <w:szCs w:val="24"/>
          <w:lang w:val="el-GR"/>
        </w:rPr>
        <w:t>.</w:t>
      </w:r>
    </w:p>
    <w:p w14:paraId="1DA42B88" w14:textId="77777777" w:rsidR="008275EC" w:rsidRPr="008275EC" w:rsidRDefault="008275EC" w:rsidP="005E36AE">
      <w:pPr>
        <w:spacing w:before="200" w:after="200"/>
        <w:ind w:firstLine="0"/>
        <w:rPr>
          <w:rFonts w:eastAsia="Calibri"/>
          <w:szCs w:val="24"/>
          <w:lang w:val="el-GR"/>
        </w:rPr>
      </w:pPr>
    </w:p>
    <w:p w14:paraId="3E26B9F4" w14:textId="234AB21B" w:rsidR="008275EC" w:rsidRPr="008275EC" w:rsidRDefault="000527B5" w:rsidP="005E36AE">
      <w:pPr>
        <w:spacing w:before="200" w:after="200"/>
        <w:ind w:firstLine="0"/>
        <w:jc w:val="center"/>
        <w:rPr>
          <w:rFonts w:eastAsia="Calibri"/>
          <w:b/>
          <w:bCs/>
          <w:szCs w:val="24"/>
          <w:lang w:val="el-GR"/>
        </w:rPr>
      </w:pPr>
      <w:r w:rsidRPr="000527B5">
        <w:rPr>
          <w:rFonts w:eastAsia="Calibri"/>
          <w:b/>
          <w:bCs/>
          <w:szCs w:val="24"/>
          <w:lang w:val="el-GR"/>
        </w:rPr>
        <w:t>3</w:t>
      </w:r>
      <w:r w:rsidR="008275EC" w:rsidRPr="008275EC">
        <w:rPr>
          <w:rFonts w:eastAsia="Calibri"/>
          <w:b/>
          <w:bCs/>
          <w:szCs w:val="24"/>
          <w:lang w:val="el-GR"/>
        </w:rPr>
        <w:t>.2. ΣΧΕΔΙΑΣΜΟΣ ΕΡΕΥΝΑΣ</w:t>
      </w:r>
    </w:p>
    <w:p w14:paraId="094753F0" w14:textId="77777777" w:rsidR="000527B5" w:rsidRDefault="008275EC" w:rsidP="005E36AE">
      <w:pPr>
        <w:spacing w:before="200" w:after="200"/>
        <w:ind w:firstLine="709"/>
        <w:rPr>
          <w:rFonts w:eastAsia="Calibri"/>
          <w:szCs w:val="24"/>
          <w:lang w:val="el-GR"/>
        </w:rPr>
      </w:pPr>
      <w:r w:rsidRPr="008275EC">
        <w:rPr>
          <w:rFonts w:eastAsia="Calibri"/>
          <w:szCs w:val="24"/>
          <w:lang w:val="el-GR"/>
        </w:rPr>
        <w:t>Όπως ήδη έχει αναφερθεί και παραπάνω, η παρούσα πτυχιακή εργασία θα εξετάσει τη συσχέτιση μεταξύ των κερδών, της χρηματοοικονομικής απόδοσης, των αποδόσεων των κερδών ανά μετοχή και των χρηματοπιστωτικών κινδύνων, με τις αποδόσεις των τιμών των μετοχών των τεσσάρων συστημικών -και μεγαλύτερων- χρηματοπιστωτικών ιδρυμάτων της Ελλάδας.</w:t>
      </w:r>
    </w:p>
    <w:p w14:paraId="3B7CBECE" w14:textId="77777777" w:rsidR="000527B5" w:rsidRDefault="008275EC" w:rsidP="005E36AE">
      <w:pPr>
        <w:spacing w:before="200" w:after="200"/>
        <w:ind w:firstLine="709"/>
        <w:rPr>
          <w:rFonts w:eastAsia="Calibri"/>
          <w:szCs w:val="24"/>
          <w:lang w:val="el-GR"/>
        </w:rPr>
      </w:pPr>
      <w:r w:rsidRPr="008275EC">
        <w:rPr>
          <w:rFonts w:eastAsia="Calibri"/>
          <w:szCs w:val="24"/>
          <w:lang w:val="el-GR"/>
        </w:rPr>
        <w:t xml:space="preserve">Αρχικά, η εργασία θα επικεντρωθεί στο εάν υπάρχει κάποια συσχέτιση μεταξύ όλων των προηγουμένως αναφερόμενων μεταβλητών (χρηματοοικονομική απόδοση/ απόδοση διαχείρισης χρηματοπιστωτικών κινδύνων/ απόδοση των τιμών των μετοχών). Εάν βρεθεί κάποια συσχέτιση, θα εξεταστούν περαιτέρω ο τύπος, η σημασία και η ισχύς αυτής της σχέσης. </w:t>
      </w:r>
    </w:p>
    <w:p w14:paraId="54B135EB" w14:textId="77777777" w:rsidR="000527B5" w:rsidRDefault="008275EC" w:rsidP="005E36AE">
      <w:pPr>
        <w:spacing w:before="200" w:after="200"/>
        <w:ind w:firstLine="709"/>
        <w:rPr>
          <w:rFonts w:eastAsia="Calibri"/>
          <w:szCs w:val="24"/>
          <w:lang w:val="el-GR"/>
        </w:rPr>
      </w:pPr>
      <w:r w:rsidRPr="008275EC">
        <w:rPr>
          <w:rFonts w:eastAsia="Calibri"/>
          <w:szCs w:val="24"/>
          <w:lang w:val="el-GR"/>
        </w:rPr>
        <w:t xml:space="preserve">Ακολούθως, όσον αφορά τον παράγοντα των κερδών, οι μεταβολές των καθαρών κερδών των υπό εξέταση τραπεζικών ιδρυμάτων θα αναλυθούν. </w:t>
      </w:r>
    </w:p>
    <w:p w14:paraId="2676FCD6" w14:textId="6C4265DC" w:rsidR="008275EC" w:rsidRPr="008275EC" w:rsidRDefault="008275EC" w:rsidP="005E36AE">
      <w:pPr>
        <w:spacing w:before="200" w:after="200"/>
        <w:ind w:firstLine="709"/>
        <w:rPr>
          <w:rFonts w:eastAsia="Calibri"/>
          <w:szCs w:val="24"/>
          <w:lang w:val="el-GR"/>
        </w:rPr>
      </w:pPr>
      <w:r w:rsidRPr="008275EC">
        <w:rPr>
          <w:rFonts w:eastAsia="Calibri"/>
          <w:szCs w:val="24"/>
          <w:lang w:val="el-GR"/>
        </w:rPr>
        <w:t xml:space="preserve">Όσον αφορά τον παράγοντα της χρηματοοικονομικής απόδοσης, οι δείκτες κερδοφορίας των τεσσάρων χρηματοπιστωτικών οργανισμών θα εξεταστούν. Για την ανάλυση των δεικτών κερδοφορίας, οι χρηματοοικονομικοί δείκτες που θα υπολογιστούν είναι οι ακόλουθοι </w:t>
      </w:r>
      <w:r w:rsidR="00FE0BC3" w:rsidRPr="00FE0BC3">
        <w:rPr>
          <w:rFonts w:eastAsia="Calibri"/>
          <w:szCs w:val="24"/>
          <w:lang w:val="el-GR"/>
        </w:rPr>
        <w:t>(</w:t>
      </w:r>
      <w:r w:rsidRPr="008275EC">
        <w:rPr>
          <w:rFonts w:eastAsia="Calibri"/>
          <w:szCs w:val="24"/>
          <w:lang w:val="el-GR"/>
        </w:rPr>
        <w:t>Anwaar, 2016</w:t>
      </w:r>
      <w:r w:rsidR="000527B5">
        <w:rPr>
          <w:rFonts w:eastAsia="Calibri"/>
          <w:szCs w:val="24"/>
          <w:lang w:val="el-GR"/>
        </w:rPr>
        <w:t xml:space="preserve">; </w:t>
      </w:r>
      <w:r w:rsidRPr="008275EC">
        <w:rPr>
          <w:rFonts w:eastAsia="Calibri"/>
          <w:szCs w:val="24"/>
        </w:rPr>
        <w:t>Hove</w:t>
      </w:r>
      <w:r w:rsidRPr="008275EC">
        <w:rPr>
          <w:rFonts w:eastAsia="Calibri"/>
          <w:szCs w:val="24"/>
          <w:lang w:val="el-GR"/>
        </w:rPr>
        <w:t xml:space="preserve"> </w:t>
      </w:r>
      <w:r w:rsidRPr="008275EC">
        <w:rPr>
          <w:rFonts w:eastAsia="Calibri"/>
          <w:i/>
          <w:iCs/>
          <w:szCs w:val="24"/>
        </w:rPr>
        <w:t>et</w:t>
      </w:r>
      <w:r w:rsidRPr="008275EC">
        <w:rPr>
          <w:rFonts w:eastAsia="Calibri"/>
          <w:i/>
          <w:iCs/>
          <w:szCs w:val="24"/>
          <w:lang w:val="el-GR"/>
        </w:rPr>
        <w:t xml:space="preserve"> </w:t>
      </w:r>
      <w:r w:rsidRPr="008275EC">
        <w:rPr>
          <w:rFonts w:eastAsia="Calibri"/>
          <w:i/>
          <w:iCs/>
          <w:szCs w:val="24"/>
        </w:rPr>
        <w:t>al</w:t>
      </w:r>
      <w:r w:rsidRPr="008275EC">
        <w:rPr>
          <w:rFonts w:eastAsia="Calibri"/>
          <w:i/>
          <w:iCs/>
          <w:szCs w:val="24"/>
          <w:lang w:val="el-GR"/>
        </w:rPr>
        <w:t>.</w:t>
      </w:r>
      <w:r w:rsidRPr="008275EC">
        <w:rPr>
          <w:rFonts w:eastAsia="Calibri"/>
          <w:szCs w:val="24"/>
          <w:lang w:val="el-GR"/>
        </w:rPr>
        <w:t>, 2020</w:t>
      </w:r>
      <w:r w:rsidR="000527B5">
        <w:rPr>
          <w:rFonts w:eastAsia="Calibri"/>
          <w:szCs w:val="24"/>
          <w:lang w:val="el-GR"/>
        </w:rPr>
        <w:t xml:space="preserve">; </w:t>
      </w:r>
      <w:r w:rsidRPr="008275EC">
        <w:rPr>
          <w:rFonts w:eastAsia="Calibri"/>
          <w:szCs w:val="24"/>
        </w:rPr>
        <w:t>Idowu</w:t>
      </w:r>
      <w:r w:rsidRPr="008275EC">
        <w:rPr>
          <w:rFonts w:eastAsia="Calibri"/>
          <w:szCs w:val="24"/>
          <w:lang w:val="el-GR"/>
        </w:rPr>
        <w:t xml:space="preserve"> </w:t>
      </w:r>
      <w:r w:rsidRPr="008275EC">
        <w:rPr>
          <w:rFonts w:eastAsia="Calibri"/>
          <w:i/>
          <w:iCs/>
          <w:szCs w:val="24"/>
        </w:rPr>
        <w:t>et</w:t>
      </w:r>
      <w:r w:rsidRPr="008275EC">
        <w:rPr>
          <w:rFonts w:eastAsia="Calibri"/>
          <w:i/>
          <w:iCs/>
          <w:szCs w:val="24"/>
          <w:lang w:val="el-GR"/>
        </w:rPr>
        <w:t xml:space="preserve"> </w:t>
      </w:r>
      <w:r w:rsidRPr="008275EC">
        <w:rPr>
          <w:rFonts w:eastAsia="Calibri"/>
          <w:i/>
          <w:iCs/>
          <w:szCs w:val="24"/>
        </w:rPr>
        <w:t>al</w:t>
      </w:r>
      <w:r w:rsidRPr="008275EC">
        <w:rPr>
          <w:rFonts w:eastAsia="Calibri"/>
          <w:i/>
          <w:iCs/>
          <w:szCs w:val="24"/>
          <w:lang w:val="el-GR"/>
        </w:rPr>
        <w:t>.</w:t>
      </w:r>
      <w:r w:rsidRPr="008275EC">
        <w:rPr>
          <w:rFonts w:eastAsia="Calibri"/>
          <w:szCs w:val="24"/>
          <w:lang w:val="el-GR"/>
        </w:rPr>
        <w:t>, 2018</w:t>
      </w:r>
      <w:r w:rsidR="000527B5">
        <w:rPr>
          <w:rFonts w:eastAsia="Calibri"/>
          <w:szCs w:val="24"/>
          <w:lang w:val="el-GR"/>
        </w:rPr>
        <w:t xml:space="preserve">; </w:t>
      </w:r>
      <w:r w:rsidRPr="008275EC">
        <w:rPr>
          <w:rFonts w:eastAsia="Calibri"/>
          <w:szCs w:val="24"/>
        </w:rPr>
        <w:t>Razak</w:t>
      </w:r>
      <w:r w:rsidRPr="008275EC">
        <w:rPr>
          <w:rFonts w:eastAsia="Calibri"/>
          <w:szCs w:val="24"/>
          <w:lang w:val="el-GR"/>
        </w:rPr>
        <w:t xml:space="preserve"> </w:t>
      </w:r>
      <w:r w:rsidRPr="008275EC">
        <w:rPr>
          <w:rFonts w:eastAsia="Calibri"/>
          <w:i/>
          <w:iCs/>
          <w:szCs w:val="24"/>
        </w:rPr>
        <w:t>et</w:t>
      </w:r>
      <w:r w:rsidRPr="008275EC">
        <w:rPr>
          <w:rFonts w:eastAsia="Calibri"/>
          <w:i/>
          <w:iCs/>
          <w:szCs w:val="24"/>
          <w:lang w:val="el-GR"/>
        </w:rPr>
        <w:t xml:space="preserve"> </w:t>
      </w:r>
      <w:r w:rsidRPr="008275EC">
        <w:rPr>
          <w:rFonts w:eastAsia="Calibri"/>
          <w:i/>
          <w:iCs/>
          <w:szCs w:val="24"/>
        </w:rPr>
        <w:t>al</w:t>
      </w:r>
      <w:r w:rsidRPr="008275EC">
        <w:rPr>
          <w:rFonts w:eastAsia="Calibri"/>
          <w:i/>
          <w:iCs/>
          <w:szCs w:val="24"/>
          <w:lang w:val="el-GR"/>
        </w:rPr>
        <w:t>.</w:t>
      </w:r>
      <w:r w:rsidRPr="008275EC">
        <w:rPr>
          <w:rFonts w:eastAsia="Calibri"/>
          <w:szCs w:val="24"/>
          <w:lang w:val="el-GR"/>
        </w:rPr>
        <w:t>, 2020</w:t>
      </w:r>
      <w:r w:rsidR="000527B5">
        <w:rPr>
          <w:rFonts w:eastAsia="Calibri"/>
          <w:szCs w:val="24"/>
          <w:lang w:val="el-GR"/>
        </w:rPr>
        <w:t xml:space="preserve">; </w:t>
      </w:r>
      <w:r w:rsidRPr="008275EC">
        <w:rPr>
          <w:rFonts w:eastAsia="Calibri"/>
          <w:szCs w:val="24"/>
        </w:rPr>
        <w:t>Rengaraju</w:t>
      </w:r>
      <w:r w:rsidRPr="008275EC">
        <w:rPr>
          <w:rFonts w:eastAsia="Calibri"/>
          <w:szCs w:val="24"/>
          <w:lang w:val="el-GR"/>
        </w:rPr>
        <w:t xml:space="preserve"> </w:t>
      </w:r>
      <w:r w:rsidRPr="008275EC">
        <w:rPr>
          <w:rFonts w:eastAsia="Calibri"/>
          <w:i/>
          <w:iCs/>
          <w:szCs w:val="24"/>
        </w:rPr>
        <w:t>et</w:t>
      </w:r>
      <w:r w:rsidRPr="008275EC">
        <w:rPr>
          <w:rFonts w:eastAsia="Calibri"/>
          <w:i/>
          <w:iCs/>
          <w:szCs w:val="24"/>
          <w:lang w:val="el-GR"/>
        </w:rPr>
        <w:t xml:space="preserve"> </w:t>
      </w:r>
      <w:r w:rsidRPr="008275EC">
        <w:rPr>
          <w:rFonts w:eastAsia="Calibri"/>
          <w:i/>
          <w:iCs/>
          <w:szCs w:val="24"/>
        </w:rPr>
        <w:t>al</w:t>
      </w:r>
      <w:r w:rsidRPr="008275EC">
        <w:rPr>
          <w:rFonts w:eastAsia="Calibri"/>
          <w:i/>
          <w:iCs/>
          <w:szCs w:val="24"/>
          <w:lang w:val="el-GR"/>
        </w:rPr>
        <w:t>.</w:t>
      </w:r>
      <w:r w:rsidRPr="008275EC">
        <w:rPr>
          <w:rFonts w:eastAsia="Calibri"/>
          <w:szCs w:val="24"/>
          <w:lang w:val="el-GR"/>
        </w:rPr>
        <w:t>, 2020</w:t>
      </w:r>
      <w:r w:rsidR="000527B5">
        <w:rPr>
          <w:rFonts w:eastAsia="Calibri"/>
          <w:szCs w:val="24"/>
          <w:lang w:val="el-GR"/>
        </w:rPr>
        <w:t xml:space="preserve">; </w:t>
      </w:r>
      <w:r w:rsidRPr="008275EC">
        <w:rPr>
          <w:rFonts w:eastAsia="Calibri"/>
          <w:szCs w:val="24"/>
        </w:rPr>
        <w:t>Saleh</w:t>
      </w:r>
      <w:r w:rsidRPr="008275EC">
        <w:rPr>
          <w:rFonts w:eastAsia="Calibri"/>
          <w:szCs w:val="24"/>
          <w:lang w:val="el-GR"/>
        </w:rPr>
        <w:t>, 2015):</w:t>
      </w:r>
    </w:p>
    <w:p w14:paraId="3DCE746F" w14:textId="77777777" w:rsidR="008275EC" w:rsidRPr="008275EC" w:rsidRDefault="008275EC" w:rsidP="005E36AE">
      <w:pPr>
        <w:numPr>
          <w:ilvl w:val="0"/>
          <w:numId w:val="16"/>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Δείκτης Αποδοτικότητας Στοιχείων Ενεργητικού (</w:t>
      </w:r>
      <w:r w:rsidRPr="008275EC">
        <w:rPr>
          <w:rFonts w:eastAsia="Calibri"/>
          <w:szCs w:val="24"/>
        </w:rPr>
        <w:t>Return</w:t>
      </w:r>
      <w:r w:rsidRPr="008275EC">
        <w:rPr>
          <w:rFonts w:eastAsia="Calibri"/>
          <w:szCs w:val="24"/>
          <w:lang w:val="el-GR"/>
        </w:rPr>
        <w:t xml:space="preserve"> </w:t>
      </w:r>
      <w:r w:rsidRPr="008275EC">
        <w:rPr>
          <w:rFonts w:eastAsia="Calibri"/>
          <w:szCs w:val="24"/>
        </w:rPr>
        <w:t>on</w:t>
      </w:r>
      <w:r w:rsidRPr="008275EC">
        <w:rPr>
          <w:rFonts w:eastAsia="Calibri"/>
          <w:szCs w:val="24"/>
          <w:lang w:val="el-GR"/>
        </w:rPr>
        <w:t xml:space="preserve"> </w:t>
      </w:r>
      <w:r w:rsidRPr="008275EC">
        <w:rPr>
          <w:rFonts w:eastAsia="Calibri"/>
          <w:szCs w:val="24"/>
        </w:rPr>
        <w:t>Assets</w:t>
      </w:r>
      <w:r w:rsidRPr="008275EC">
        <w:rPr>
          <w:rFonts w:eastAsia="Calibri"/>
          <w:szCs w:val="24"/>
          <w:lang w:val="el-GR"/>
        </w:rPr>
        <w:t xml:space="preserve"> – </w:t>
      </w:r>
      <w:r w:rsidRPr="008275EC">
        <w:rPr>
          <w:rFonts w:eastAsia="Calibri"/>
          <w:szCs w:val="24"/>
        </w:rPr>
        <w:t>ROA</w:t>
      </w:r>
      <w:r w:rsidRPr="008275EC">
        <w:rPr>
          <w:rFonts w:eastAsia="Calibri"/>
          <w:szCs w:val="24"/>
          <w:lang w:val="el-GR"/>
        </w:rPr>
        <w:t>) = Καθαρά Κέρδη/ Σύνολο Ενεργητικού</w:t>
      </w:r>
    </w:p>
    <w:p w14:paraId="3455A63C" w14:textId="77777777" w:rsidR="008275EC" w:rsidRPr="008275EC" w:rsidRDefault="008275EC" w:rsidP="005E36AE">
      <w:pPr>
        <w:numPr>
          <w:ilvl w:val="0"/>
          <w:numId w:val="16"/>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Δείκτης Αποδοτικότητας Στοιχείων Ιδίων Κεφαλαίων (</w:t>
      </w:r>
      <w:r w:rsidRPr="008275EC">
        <w:rPr>
          <w:rFonts w:eastAsia="Calibri"/>
          <w:szCs w:val="24"/>
        </w:rPr>
        <w:t>Return</w:t>
      </w:r>
      <w:r w:rsidRPr="008275EC">
        <w:rPr>
          <w:rFonts w:eastAsia="Calibri"/>
          <w:szCs w:val="24"/>
          <w:lang w:val="el-GR"/>
        </w:rPr>
        <w:t xml:space="preserve"> </w:t>
      </w:r>
      <w:r w:rsidRPr="008275EC">
        <w:rPr>
          <w:rFonts w:eastAsia="Calibri"/>
          <w:szCs w:val="24"/>
        </w:rPr>
        <w:t>on</w:t>
      </w:r>
      <w:r w:rsidRPr="008275EC">
        <w:rPr>
          <w:rFonts w:eastAsia="Calibri"/>
          <w:szCs w:val="24"/>
          <w:lang w:val="el-GR"/>
        </w:rPr>
        <w:t xml:space="preserve"> </w:t>
      </w:r>
      <w:r w:rsidRPr="008275EC">
        <w:rPr>
          <w:rFonts w:eastAsia="Calibri"/>
          <w:szCs w:val="24"/>
        </w:rPr>
        <w:t>Equity</w:t>
      </w:r>
      <w:r w:rsidRPr="008275EC">
        <w:rPr>
          <w:rFonts w:eastAsia="Calibri"/>
          <w:szCs w:val="24"/>
          <w:lang w:val="el-GR"/>
        </w:rPr>
        <w:t xml:space="preserve"> – </w:t>
      </w:r>
      <w:r w:rsidRPr="008275EC">
        <w:rPr>
          <w:rFonts w:eastAsia="Calibri"/>
          <w:szCs w:val="24"/>
        </w:rPr>
        <w:t>ROE</w:t>
      </w:r>
      <w:r w:rsidRPr="008275EC">
        <w:rPr>
          <w:rFonts w:eastAsia="Calibri"/>
          <w:szCs w:val="24"/>
          <w:lang w:val="el-GR"/>
        </w:rPr>
        <w:t>) = Καθαρά Κέρδη/ Σύνολο Ιδίων Κεφαλαίων</w:t>
      </w:r>
    </w:p>
    <w:p w14:paraId="54D71274" w14:textId="77777777" w:rsidR="008275EC" w:rsidRPr="008275EC" w:rsidRDefault="008275EC" w:rsidP="005E36AE">
      <w:pPr>
        <w:spacing w:before="200" w:after="200"/>
        <w:ind w:firstLine="0"/>
        <w:rPr>
          <w:rFonts w:eastAsia="Calibri"/>
          <w:szCs w:val="24"/>
          <w:lang w:val="el-GR"/>
        </w:rPr>
      </w:pPr>
    </w:p>
    <w:p w14:paraId="28102DFA" w14:textId="77777777" w:rsidR="000527B5" w:rsidRDefault="008275EC" w:rsidP="005E36AE">
      <w:pPr>
        <w:spacing w:before="200" w:after="200"/>
        <w:ind w:firstLine="709"/>
        <w:rPr>
          <w:rFonts w:eastAsia="Calibri"/>
          <w:szCs w:val="24"/>
          <w:lang w:val="el-GR"/>
        </w:rPr>
      </w:pPr>
      <w:r w:rsidRPr="008275EC">
        <w:rPr>
          <w:rFonts w:eastAsia="Calibri"/>
          <w:szCs w:val="24"/>
          <w:lang w:val="el-GR"/>
        </w:rPr>
        <w:lastRenderedPageBreak/>
        <w:t>Όσον αφορά τον παράγοντα των κερδών ανά μετοχή, θα αναλυθούν οι μεταβολές των δείκτη των κερδών ανά μετοχή (</w:t>
      </w:r>
      <w:r w:rsidRPr="008275EC">
        <w:rPr>
          <w:rFonts w:eastAsia="Calibri"/>
          <w:szCs w:val="24"/>
        </w:rPr>
        <w:t>Earnings</w:t>
      </w:r>
      <w:r w:rsidRPr="008275EC">
        <w:rPr>
          <w:rFonts w:eastAsia="Calibri"/>
          <w:szCs w:val="24"/>
          <w:lang w:val="el-GR"/>
        </w:rPr>
        <w:t xml:space="preserve"> </w:t>
      </w:r>
      <w:r w:rsidRPr="008275EC">
        <w:rPr>
          <w:rFonts w:eastAsia="Calibri"/>
          <w:szCs w:val="24"/>
        </w:rPr>
        <w:t>per</w:t>
      </w:r>
      <w:r w:rsidRPr="008275EC">
        <w:rPr>
          <w:rFonts w:eastAsia="Calibri"/>
          <w:szCs w:val="24"/>
          <w:lang w:val="el-GR"/>
        </w:rPr>
        <w:t xml:space="preserve"> </w:t>
      </w:r>
      <w:r w:rsidRPr="008275EC">
        <w:rPr>
          <w:rFonts w:eastAsia="Calibri"/>
          <w:szCs w:val="24"/>
        </w:rPr>
        <w:t>Share</w:t>
      </w:r>
      <w:r w:rsidRPr="008275EC">
        <w:rPr>
          <w:rFonts w:eastAsia="Calibri"/>
          <w:szCs w:val="24"/>
          <w:lang w:val="el-GR"/>
        </w:rPr>
        <w:t>) των υπό εξέταση τραπεζών (Anwaar, 2016</w:t>
      </w:r>
      <w:r w:rsidR="00622082">
        <w:rPr>
          <w:rFonts w:eastAsia="Calibri"/>
          <w:szCs w:val="24"/>
          <w:lang w:val="el-GR"/>
        </w:rPr>
        <w:t xml:space="preserve">; </w:t>
      </w:r>
      <w:r w:rsidRPr="008275EC">
        <w:rPr>
          <w:rFonts w:eastAsia="Calibri"/>
          <w:szCs w:val="24"/>
        </w:rPr>
        <w:t>Hove</w:t>
      </w:r>
      <w:r w:rsidRPr="008275EC">
        <w:rPr>
          <w:rFonts w:eastAsia="Calibri"/>
          <w:szCs w:val="24"/>
          <w:lang w:val="el-GR"/>
        </w:rPr>
        <w:t xml:space="preserve"> </w:t>
      </w:r>
      <w:r w:rsidRPr="008275EC">
        <w:rPr>
          <w:rFonts w:eastAsia="Calibri"/>
          <w:i/>
          <w:iCs/>
          <w:szCs w:val="24"/>
        </w:rPr>
        <w:t>et</w:t>
      </w:r>
      <w:r w:rsidRPr="008275EC">
        <w:rPr>
          <w:rFonts w:eastAsia="Calibri"/>
          <w:i/>
          <w:iCs/>
          <w:szCs w:val="24"/>
          <w:lang w:val="el-GR"/>
        </w:rPr>
        <w:t xml:space="preserve"> </w:t>
      </w:r>
      <w:r w:rsidRPr="008275EC">
        <w:rPr>
          <w:rFonts w:eastAsia="Calibri"/>
          <w:i/>
          <w:iCs/>
          <w:szCs w:val="24"/>
        </w:rPr>
        <w:t>al</w:t>
      </w:r>
      <w:r w:rsidRPr="008275EC">
        <w:rPr>
          <w:rFonts w:eastAsia="Calibri"/>
          <w:i/>
          <w:iCs/>
          <w:szCs w:val="24"/>
          <w:lang w:val="el-GR"/>
        </w:rPr>
        <w:t>.</w:t>
      </w:r>
      <w:r w:rsidRPr="008275EC">
        <w:rPr>
          <w:rFonts w:eastAsia="Calibri"/>
          <w:szCs w:val="24"/>
          <w:lang w:val="el-GR"/>
        </w:rPr>
        <w:t>, 2020</w:t>
      </w:r>
      <w:r w:rsidR="00622082">
        <w:rPr>
          <w:rFonts w:eastAsia="Calibri"/>
          <w:szCs w:val="24"/>
          <w:lang w:val="el-GR"/>
        </w:rPr>
        <w:t xml:space="preserve">; </w:t>
      </w:r>
      <w:r w:rsidRPr="008275EC">
        <w:rPr>
          <w:rFonts w:eastAsia="Calibri"/>
          <w:szCs w:val="24"/>
        </w:rPr>
        <w:t>Idowu</w:t>
      </w:r>
      <w:r w:rsidRPr="008275EC">
        <w:rPr>
          <w:rFonts w:eastAsia="Calibri"/>
          <w:szCs w:val="24"/>
          <w:lang w:val="el-GR"/>
        </w:rPr>
        <w:t xml:space="preserve"> </w:t>
      </w:r>
      <w:r w:rsidRPr="008275EC">
        <w:rPr>
          <w:rFonts w:eastAsia="Calibri"/>
          <w:i/>
          <w:iCs/>
          <w:szCs w:val="24"/>
        </w:rPr>
        <w:t>et</w:t>
      </w:r>
      <w:r w:rsidRPr="008275EC">
        <w:rPr>
          <w:rFonts w:eastAsia="Calibri"/>
          <w:i/>
          <w:iCs/>
          <w:szCs w:val="24"/>
          <w:lang w:val="el-GR"/>
        </w:rPr>
        <w:t xml:space="preserve"> </w:t>
      </w:r>
      <w:r w:rsidRPr="008275EC">
        <w:rPr>
          <w:rFonts w:eastAsia="Calibri"/>
          <w:i/>
          <w:iCs/>
          <w:szCs w:val="24"/>
        </w:rPr>
        <w:t>al</w:t>
      </w:r>
      <w:r w:rsidRPr="008275EC">
        <w:rPr>
          <w:rFonts w:eastAsia="Calibri"/>
          <w:i/>
          <w:iCs/>
          <w:szCs w:val="24"/>
          <w:lang w:val="el-GR"/>
        </w:rPr>
        <w:t>.</w:t>
      </w:r>
      <w:r w:rsidRPr="008275EC">
        <w:rPr>
          <w:rFonts w:eastAsia="Calibri"/>
          <w:szCs w:val="24"/>
          <w:lang w:val="el-GR"/>
        </w:rPr>
        <w:t xml:space="preserve">, 2018). </w:t>
      </w:r>
    </w:p>
    <w:p w14:paraId="716F41CE" w14:textId="77777777" w:rsidR="000527B5" w:rsidRDefault="008275EC" w:rsidP="005E36AE">
      <w:pPr>
        <w:spacing w:before="200" w:after="200"/>
        <w:ind w:firstLine="709"/>
        <w:rPr>
          <w:rFonts w:eastAsia="Calibri"/>
          <w:szCs w:val="24"/>
          <w:lang w:val="el-GR"/>
        </w:rPr>
      </w:pPr>
      <w:r w:rsidRPr="008275EC">
        <w:rPr>
          <w:rFonts w:eastAsia="Calibri"/>
          <w:szCs w:val="24"/>
          <w:lang w:val="el-GR"/>
        </w:rPr>
        <w:t>Όσον αφορά τον παράγοντα των χρηματοπιστωτικών κινδύνων, οι κίνδυνοι που θα ληφθούν υπόψη είναι ο κίνδυνος επιτοκίου, ο πιστωτικός κίνδυνος, ο κίνδυνος ρευστότητας και ο κίνδυνος φερεγγυότητας (</w:t>
      </w:r>
      <w:r w:rsidRPr="008275EC">
        <w:rPr>
          <w:rFonts w:eastAsia="Calibri"/>
          <w:szCs w:val="24"/>
          <w:lang w:val="fr-FR"/>
        </w:rPr>
        <w:t>Dimitropoulos</w:t>
      </w:r>
      <w:r w:rsidRPr="008275EC">
        <w:rPr>
          <w:rFonts w:eastAsia="Calibri"/>
          <w:szCs w:val="24"/>
          <w:lang w:val="el-GR"/>
        </w:rPr>
        <w:t xml:space="preserve"> </w:t>
      </w:r>
      <w:r w:rsidRPr="008275EC">
        <w:rPr>
          <w:rFonts w:eastAsia="Calibri"/>
          <w:i/>
          <w:iCs/>
          <w:szCs w:val="24"/>
        </w:rPr>
        <w:t>et</w:t>
      </w:r>
      <w:r w:rsidRPr="008275EC">
        <w:rPr>
          <w:rFonts w:eastAsia="Calibri"/>
          <w:i/>
          <w:iCs/>
          <w:szCs w:val="24"/>
          <w:lang w:val="el-GR"/>
        </w:rPr>
        <w:t xml:space="preserve"> </w:t>
      </w:r>
      <w:r w:rsidRPr="008275EC">
        <w:rPr>
          <w:rFonts w:eastAsia="Calibri"/>
          <w:i/>
          <w:iCs/>
          <w:szCs w:val="24"/>
        </w:rPr>
        <w:t>al</w:t>
      </w:r>
      <w:r w:rsidRPr="008275EC">
        <w:rPr>
          <w:rFonts w:eastAsia="Calibri"/>
          <w:i/>
          <w:iCs/>
          <w:szCs w:val="24"/>
          <w:lang w:val="el-GR"/>
        </w:rPr>
        <w:t xml:space="preserve">., </w:t>
      </w:r>
      <w:r w:rsidRPr="008275EC">
        <w:rPr>
          <w:rFonts w:eastAsia="Calibri"/>
          <w:szCs w:val="24"/>
          <w:lang w:val="el-GR"/>
        </w:rPr>
        <w:t xml:space="preserve">2010). </w:t>
      </w:r>
    </w:p>
    <w:p w14:paraId="70D11BDF" w14:textId="6A87A91A" w:rsidR="008275EC" w:rsidRPr="008275EC" w:rsidRDefault="008275EC" w:rsidP="005E36AE">
      <w:pPr>
        <w:spacing w:before="200" w:after="200"/>
        <w:ind w:firstLine="709"/>
        <w:rPr>
          <w:rFonts w:eastAsia="Calibri"/>
          <w:szCs w:val="24"/>
          <w:lang w:val="el-GR"/>
        </w:rPr>
      </w:pPr>
      <w:r w:rsidRPr="008275EC">
        <w:rPr>
          <w:rFonts w:eastAsia="Calibri"/>
          <w:szCs w:val="24"/>
          <w:lang w:val="el-GR"/>
        </w:rPr>
        <w:t>Για την εκτίμηση του κινδύνου επιτοκίου (</w:t>
      </w:r>
      <w:r w:rsidRPr="008275EC">
        <w:rPr>
          <w:rFonts w:eastAsia="Calibri"/>
          <w:szCs w:val="24"/>
        </w:rPr>
        <w:t>interest</w:t>
      </w:r>
      <w:r w:rsidRPr="008275EC">
        <w:rPr>
          <w:rFonts w:eastAsia="Calibri"/>
          <w:szCs w:val="24"/>
          <w:lang w:val="el-GR"/>
        </w:rPr>
        <w:t xml:space="preserve"> </w:t>
      </w:r>
      <w:r w:rsidRPr="008275EC">
        <w:rPr>
          <w:rFonts w:eastAsia="Calibri"/>
          <w:szCs w:val="24"/>
        </w:rPr>
        <w:t>rate</w:t>
      </w:r>
      <w:r w:rsidRPr="008275EC">
        <w:rPr>
          <w:rFonts w:eastAsia="Calibri"/>
          <w:szCs w:val="24"/>
          <w:lang w:val="el-GR"/>
        </w:rPr>
        <w:t xml:space="preserve"> </w:t>
      </w:r>
      <w:r w:rsidRPr="008275EC">
        <w:rPr>
          <w:rFonts w:eastAsia="Calibri"/>
          <w:szCs w:val="24"/>
        </w:rPr>
        <w:t>risk</w:t>
      </w:r>
      <w:r w:rsidRPr="008275EC">
        <w:rPr>
          <w:rFonts w:eastAsia="Calibri"/>
          <w:szCs w:val="24"/>
          <w:lang w:val="el-GR"/>
        </w:rPr>
        <w:t>), θα αναλυθούν οι παρακάτω χρηματοοικονομικοί δείκτες (</w:t>
      </w:r>
      <w:r w:rsidRPr="008275EC">
        <w:rPr>
          <w:rFonts w:eastAsia="Calibri"/>
          <w:szCs w:val="24"/>
          <w:lang w:val="fr-FR"/>
        </w:rPr>
        <w:t>Dimitropoulos</w:t>
      </w:r>
      <w:r w:rsidRPr="008275EC">
        <w:rPr>
          <w:rFonts w:eastAsia="Calibri"/>
          <w:szCs w:val="24"/>
          <w:lang w:val="el-GR"/>
        </w:rPr>
        <w:t xml:space="preserve"> </w:t>
      </w:r>
      <w:r w:rsidRPr="008275EC">
        <w:rPr>
          <w:rFonts w:eastAsia="Calibri"/>
          <w:i/>
          <w:iCs/>
          <w:szCs w:val="24"/>
        </w:rPr>
        <w:t>et</w:t>
      </w:r>
      <w:r w:rsidRPr="008275EC">
        <w:rPr>
          <w:rFonts w:eastAsia="Calibri"/>
          <w:i/>
          <w:iCs/>
          <w:szCs w:val="24"/>
          <w:lang w:val="el-GR"/>
        </w:rPr>
        <w:t xml:space="preserve"> </w:t>
      </w:r>
      <w:r w:rsidRPr="008275EC">
        <w:rPr>
          <w:rFonts w:eastAsia="Calibri"/>
          <w:i/>
          <w:iCs/>
          <w:szCs w:val="24"/>
        </w:rPr>
        <w:t>al</w:t>
      </w:r>
      <w:r w:rsidRPr="008275EC">
        <w:rPr>
          <w:rFonts w:eastAsia="Calibri"/>
          <w:i/>
          <w:iCs/>
          <w:szCs w:val="24"/>
          <w:lang w:val="el-GR"/>
        </w:rPr>
        <w:t xml:space="preserve">., </w:t>
      </w:r>
      <w:r w:rsidRPr="008275EC">
        <w:rPr>
          <w:rFonts w:eastAsia="Calibri"/>
          <w:szCs w:val="24"/>
          <w:lang w:val="el-GR"/>
        </w:rPr>
        <w:t>2010):</w:t>
      </w:r>
    </w:p>
    <w:p w14:paraId="21273F50" w14:textId="77777777" w:rsidR="008275EC" w:rsidRPr="008275EC" w:rsidRDefault="008275EC" w:rsidP="005E36AE">
      <w:pPr>
        <w:numPr>
          <w:ilvl w:val="0"/>
          <w:numId w:val="17"/>
        </w:numPr>
        <w:pBdr>
          <w:top w:val="nil"/>
          <w:left w:val="nil"/>
          <w:bottom w:val="nil"/>
          <w:right w:val="nil"/>
          <w:between w:val="nil"/>
          <w:bar w:val="nil"/>
        </w:pBdr>
        <w:spacing w:before="200" w:after="200"/>
        <w:contextualSpacing/>
        <w:rPr>
          <w:rFonts w:eastAsia="Calibri"/>
          <w:szCs w:val="24"/>
          <w:lang w:val="el-GR"/>
        </w:rPr>
      </w:pPr>
      <w:bookmarkStart w:id="43" w:name="_Hlk82856712"/>
      <w:r w:rsidRPr="008275EC">
        <w:rPr>
          <w:rFonts w:eastAsia="Calibri"/>
          <w:szCs w:val="24"/>
          <w:lang w:val="el-GR"/>
        </w:rPr>
        <w:t>Βραχυπρόθεσμες Υποχρεώσεις</w:t>
      </w:r>
      <w:bookmarkEnd w:id="43"/>
      <w:r w:rsidRPr="008275EC">
        <w:rPr>
          <w:rFonts w:eastAsia="Calibri"/>
          <w:szCs w:val="24"/>
          <w:lang w:val="el-GR"/>
        </w:rPr>
        <w:t xml:space="preserve">/ </w:t>
      </w:r>
      <w:bookmarkStart w:id="44" w:name="_Hlk82855862"/>
      <w:r w:rsidRPr="008275EC">
        <w:rPr>
          <w:rFonts w:eastAsia="Calibri"/>
          <w:szCs w:val="24"/>
          <w:lang w:val="el-GR"/>
        </w:rPr>
        <w:t>Συνολικές Υποχρεώσεις</w:t>
      </w:r>
      <w:bookmarkEnd w:id="44"/>
      <w:r w:rsidRPr="008275EC">
        <w:rPr>
          <w:rFonts w:eastAsia="Calibri"/>
          <w:szCs w:val="24"/>
          <w:lang w:val="el-GR"/>
        </w:rPr>
        <w:t>.</w:t>
      </w:r>
    </w:p>
    <w:p w14:paraId="79B498EE" w14:textId="77777777" w:rsidR="008275EC" w:rsidRPr="008275EC" w:rsidRDefault="008275EC" w:rsidP="005E36AE">
      <w:pPr>
        <w:numPr>
          <w:ilvl w:val="0"/>
          <w:numId w:val="17"/>
        </w:numPr>
        <w:pBdr>
          <w:top w:val="nil"/>
          <w:left w:val="nil"/>
          <w:bottom w:val="nil"/>
          <w:right w:val="nil"/>
          <w:between w:val="nil"/>
          <w:bar w:val="nil"/>
        </w:pBdr>
        <w:spacing w:before="200" w:after="200"/>
        <w:contextualSpacing/>
        <w:rPr>
          <w:rFonts w:eastAsia="Calibri"/>
          <w:szCs w:val="24"/>
          <w:lang w:val="el-GR"/>
        </w:rPr>
      </w:pPr>
      <w:bookmarkStart w:id="45" w:name="_Hlk82855856"/>
      <w:r w:rsidRPr="008275EC">
        <w:rPr>
          <w:rFonts w:eastAsia="Calibri"/>
          <w:szCs w:val="24"/>
          <w:lang w:val="el-GR"/>
        </w:rPr>
        <w:t>Σύνολο Τραπεζικών Καταθέσεων</w:t>
      </w:r>
      <w:bookmarkEnd w:id="45"/>
      <w:r w:rsidRPr="008275EC">
        <w:rPr>
          <w:rFonts w:eastAsia="Calibri"/>
          <w:szCs w:val="24"/>
          <w:lang w:val="el-GR"/>
        </w:rPr>
        <w:t>/ Σύνολο Δανείων.</w:t>
      </w:r>
    </w:p>
    <w:p w14:paraId="205BDD7F" w14:textId="77777777" w:rsidR="008275EC" w:rsidRPr="008275EC" w:rsidRDefault="008275EC" w:rsidP="005E36AE">
      <w:pPr>
        <w:numPr>
          <w:ilvl w:val="0"/>
          <w:numId w:val="17"/>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Σύνολο Δανείων/ Σύνολο Ενεργητικού.</w:t>
      </w:r>
    </w:p>
    <w:p w14:paraId="7F4D0E80" w14:textId="77777777" w:rsidR="008275EC" w:rsidRPr="008275EC" w:rsidRDefault="008275EC" w:rsidP="005E36AE">
      <w:pPr>
        <w:numPr>
          <w:ilvl w:val="0"/>
          <w:numId w:val="17"/>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Σύνολο Τραπεζικών Καταθέσεων/ Συνολικές Υποχρεώσεις.</w:t>
      </w:r>
    </w:p>
    <w:p w14:paraId="2BB7E81D" w14:textId="77777777" w:rsidR="000527B5" w:rsidRDefault="000527B5" w:rsidP="005E36AE">
      <w:pPr>
        <w:spacing w:before="200" w:after="200"/>
        <w:ind w:firstLine="0"/>
        <w:rPr>
          <w:rFonts w:eastAsia="Calibri"/>
          <w:szCs w:val="24"/>
          <w:lang w:val="el-GR"/>
        </w:rPr>
      </w:pPr>
    </w:p>
    <w:p w14:paraId="4A323BA3" w14:textId="543C633C" w:rsidR="008275EC" w:rsidRPr="008275EC" w:rsidRDefault="008275EC" w:rsidP="005E36AE">
      <w:pPr>
        <w:spacing w:before="200" w:after="200"/>
        <w:ind w:firstLine="709"/>
        <w:rPr>
          <w:rFonts w:eastAsia="Calibri"/>
          <w:szCs w:val="24"/>
          <w:lang w:val="el-GR"/>
        </w:rPr>
      </w:pPr>
      <w:r w:rsidRPr="008275EC">
        <w:rPr>
          <w:rFonts w:eastAsia="Calibri"/>
          <w:szCs w:val="24"/>
          <w:lang w:val="el-GR"/>
        </w:rPr>
        <w:t>Για την εκτίμηση του πιστωτικού κινδύνου (</w:t>
      </w:r>
      <w:r w:rsidRPr="008275EC">
        <w:rPr>
          <w:rFonts w:eastAsia="Calibri"/>
          <w:szCs w:val="24"/>
        </w:rPr>
        <w:t>credit</w:t>
      </w:r>
      <w:r w:rsidRPr="008275EC">
        <w:rPr>
          <w:rFonts w:eastAsia="Calibri"/>
          <w:szCs w:val="24"/>
          <w:lang w:val="el-GR"/>
        </w:rPr>
        <w:t xml:space="preserve"> </w:t>
      </w:r>
      <w:r w:rsidRPr="008275EC">
        <w:rPr>
          <w:rFonts w:eastAsia="Calibri"/>
          <w:szCs w:val="24"/>
        </w:rPr>
        <w:t>risk</w:t>
      </w:r>
      <w:r w:rsidRPr="008275EC">
        <w:rPr>
          <w:rFonts w:eastAsia="Calibri"/>
          <w:szCs w:val="24"/>
          <w:lang w:val="el-GR"/>
        </w:rPr>
        <w:t>), θα αναλυθεί ο παρακάτω χρηματοοικονομικός δείκτης (</w:t>
      </w:r>
      <w:r w:rsidRPr="008275EC">
        <w:rPr>
          <w:rFonts w:eastAsia="Calibri"/>
          <w:szCs w:val="24"/>
          <w:lang w:val="fr-FR"/>
        </w:rPr>
        <w:t>Dimitropoulos</w:t>
      </w:r>
      <w:r w:rsidRPr="008275EC">
        <w:rPr>
          <w:rFonts w:eastAsia="Calibri"/>
          <w:szCs w:val="24"/>
          <w:lang w:val="el-GR"/>
        </w:rPr>
        <w:t xml:space="preserve"> </w:t>
      </w:r>
      <w:r w:rsidRPr="008275EC">
        <w:rPr>
          <w:rFonts w:eastAsia="Calibri"/>
          <w:i/>
          <w:iCs/>
          <w:szCs w:val="24"/>
        </w:rPr>
        <w:t>et</w:t>
      </w:r>
      <w:r w:rsidRPr="008275EC">
        <w:rPr>
          <w:rFonts w:eastAsia="Calibri"/>
          <w:i/>
          <w:iCs/>
          <w:szCs w:val="24"/>
          <w:lang w:val="el-GR"/>
        </w:rPr>
        <w:t xml:space="preserve"> </w:t>
      </w:r>
      <w:r w:rsidRPr="008275EC">
        <w:rPr>
          <w:rFonts w:eastAsia="Calibri"/>
          <w:i/>
          <w:iCs/>
          <w:szCs w:val="24"/>
        </w:rPr>
        <w:t>al</w:t>
      </w:r>
      <w:r w:rsidRPr="008275EC">
        <w:rPr>
          <w:rFonts w:eastAsia="Calibri"/>
          <w:i/>
          <w:iCs/>
          <w:szCs w:val="24"/>
          <w:lang w:val="el-GR"/>
        </w:rPr>
        <w:t xml:space="preserve">., </w:t>
      </w:r>
      <w:r w:rsidRPr="008275EC">
        <w:rPr>
          <w:rFonts w:eastAsia="Calibri"/>
          <w:szCs w:val="24"/>
          <w:lang w:val="el-GR"/>
        </w:rPr>
        <w:t>2010):</w:t>
      </w:r>
    </w:p>
    <w:p w14:paraId="0426AEDD" w14:textId="77777777" w:rsidR="008275EC" w:rsidRPr="008275EC" w:rsidRDefault="008275EC" w:rsidP="005E36AE">
      <w:pPr>
        <w:numPr>
          <w:ilvl w:val="0"/>
          <w:numId w:val="18"/>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Προβλέψεις Ζημιών από τα Δάνεια/ Σύνολο Δανείων</w:t>
      </w:r>
    </w:p>
    <w:p w14:paraId="48CAE44F" w14:textId="77777777" w:rsidR="000527B5" w:rsidRDefault="000527B5" w:rsidP="005E36AE">
      <w:pPr>
        <w:spacing w:before="200" w:after="200"/>
        <w:ind w:firstLine="0"/>
        <w:rPr>
          <w:rFonts w:eastAsia="Calibri"/>
          <w:szCs w:val="24"/>
          <w:lang w:val="el-GR"/>
        </w:rPr>
      </w:pPr>
    </w:p>
    <w:p w14:paraId="5B0F152C" w14:textId="2ADF04E1" w:rsidR="008275EC" w:rsidRPr="008275EC" w:rsidRDefault="008275EC" w:rsidP="005E36AE">
      <w:pPr>
        <w:spacing w:before="200" w:after="200"/>
        <w:ind w:firstLine="709"/>
        <w:rPr>
          <w:rFonts w:eastAsia="Calibri"/>
          <w:szCs w:val="24"/>
          <w:lang w:val="el-GR"/>
        </w:rPr>
      </w:pPr>
      <w:r w:rsidRPr="008275EC">
        <w:rPr>
          <w:rFonts w:eastAsia="Calibri"/>
          <w:szCs w:val="24"/>
          <w:lang w:val="el-GR"/>
        </w:rPr>
        <w:t>Για την εκτίμηση του κινδύνου φερεγγυότητας (</w:t>
      </w:r>
      <w:r w:rsidRPr="008275EC">
        <w:rPr>
          <w:rFonts w:eastAsia="Calibri"/>
          <w:szCs w:val="24"/>
        </w:rPr>
        <w:t>solvency</w:t>
      </w:r>
      <w:r w:rsidRPr="008275EC">
        <w:rPr>
          <w:rFonts w:eastAsia="Calibri"/>
          <w:szCs w:val="24"/>
          <w:lang w:val="el-GR"/>
        </w:rPr>
        <w:t xml:space="preserve"> </w:t>
      </w:r>
      <w:r w:rsidRPr="008275EC">
        <w:rPr>
          <w:rFonts w:eastAsia="Calibri"/>
          <w:szCs w:val="24"/>
        </w:rPr>
        <w:t>risk</w:t>
      </w:r>
      <w:r w:rsidRPr="008275EC">
        <w:rPr>
          <w:rFonts w:eastAsia="Calibri"/>
          <w:szCs w:val="24"/>
          <w:lang w:val="el-GR"/>
        </w:rPr>
        <w:t>), θα αναλυθούν οι παρακάτω χρηματοοικονομικοί δείκτες (</w:t>
      </w:r>
      <w:r w:rsidRPr="008275EC">
        <w:rPr>
          <w:rFonts w:eastAsia="Calibri"/>
          <w:szCs w:val="24"/>
          <w:lang w:val="fr-FR"/>
        </w:rPr>
        <w:t>Dimitropoulos</w:t>
      </w:r>
      <w:r w:rsidRPr="008275EC">
        <w:rPr>
          <w:rFonts w:eastAsia="Calibri"/>
          <w:szCs w:val="24"/>
          <w:lang w:val="el-GR"/>
        </w:rPr>
        <w:t xml:space="preserve"> </w:t>
      </w:r>
      <w:r w:rsidRPr="008275EC">
        <w:rPr>
          <w:rFonts w:eastAsia="Calibri"/>
          <w:i/>
          <w:iCs/>
          <w:szCs w:val="24"/>
        </w:rPr>
        <w:t>et</w:t>
      </w:r>
      <w:r w:rsidRPr="008275EC">
        <w:rPr>
          <w:rFonts w:eastAsia="Calibri"/>
          <w:i/>
          <w:iCs/>
          <w:szCs w:val="24"/>
          <w:lang w:val="el-GR"/>
        </w:rPr>
        <w:t xml:space="preserve"> </w:t>
      </w:r>
      <w:r w:rsidRPr="008275EC">
        <w:rPr>
          <w:rFonts w:eastAsia="Calibri"/>
          <w:i/>
          <w:iCs/>
          <w:szCs w:val="24"/>
        </w:rPr>
        <w:t>al</w:t>
      </w:r>
      <w:r w:rsidRPr="008275EC">
        <w:rPr>
          <w:rFonts w:eastAsia="Calibri"/>
          <w:i/>
          <w:iCs/>
          <w:szCs w:val="24"/>
          <w:lang w:val="el-GR"/>
        </w:rPr>
        <w:t xml:space="preserve">., </w:t>
      </w:r>
      <w:r w:rsidRPr="008275EC">
        <w:rPr>
          <w:rFonts w:eastAsia="Calibri"/>
          <w:szCs w:val="24"/>
          <w:lang w:val="el-GR"/>
        </w:rPr>
        <w:t>2010):</w:t>
      </w:r>
    </w:p>
    <w:p w14:paraId="6CAC1E5C" w14:textId="77777777" w:rsidR="008275EC" w:rsidRPr="008275EC" w:rsidRDefault="008275EC" w:rsidP="005E36AE">
      <w:pPr>
        <w:numPr>
          <w:ilvl w:val="0"/>
          <w:numId w:val="18"/>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Σύνολο Ιδίων Κεφαλαίων/ Σύνολο Ενεργητικού.</w:t>
      </w:r>
    </w:p>
    <w:p w14:paraId="2215A669" w14:textId="77777777" w:rsidR="008275EC" w:rsidRPr="008275EC" w:rsidRDefault="008275EC" w:rsidP="005E36AE">
      <w:pPr>
        <w:numPr>
          <w:ilvl w:val="0"/>
          <w:numId w:val="18"/>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Σύνολο Ενεργητικού/ Συνολικές Υποχρεώσεις.</w:t>
      </w:r>
    </w:p>
    <w:p w14:paraId="339DCEB4" w14:textId="77777777" w:rsidR="008275EC" w:rsidRPr="008275EC" w:rsidRDefault="008275EC" w:rsidP="005E36AE">
      <w:pPr>
        <w:numPr>
          <w:ilvl w:val="0"/>
          <w:numId w:val="18"/>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Βραχυπρόθεσμες Υποχρεώσεις/ Σύνολο Ενεργητικού.</w:t>
      </w:r>
    </w:p>
    <w:p w14:paraId="6EC4FB89" w14:textId="77777777" w:rsidR="000527B5" w:rsidRDefault="000527B5" w:rsidP="005E36AE">
      <w:pPr>
        <w:spacing w:before="200" w:after="200"/>
        <w:ind w:firstLine="0"/>
        <w:rPr>
          <w:rFonts w:eastAsia="Calibri"/>
          <w:szCs w:val="24"/>
          <w:lang w:val="el-GR"/>
        </w:rPr>
      </w:pPr>
    </w:p>
    <w:p w14:paraId="480FB0F2" w14:textId="61B16D8F" w:rsidR="008275EC" w:rsidRPr="008275EC" w:rsidRDefault="008275EC" w:rsidP="005E36AE">
      <w:pPr>
        <w:spacing w:before="200" w:after="200"/>
        <w:ind w:firstLine="709"/>
        <w:rPr>
          <w:rFonts w:eastAsia="Calibri"/>
          <w:szCs w:val="24"/>
          <w:lang w:val="el-GR"/>
        </w:rPr>
      </w:pPr>
      <w:r w:rsidRPr="008275EC">
        <w:rPr>
          <w:rFonts w:eastAsia="Calibri"/>
          <w:szCs w:val="24"/>
          <w:lang w:val="el-GR"/>
        </w:rPr>
        <w:t>Για την εκτίμηση του κινδύνου ρευστότητας (</w:t>
      </w:r>
      <w:r w:rsidRPr="008275EC">
        <w:rPr>
          <w:rFonts w:eastAsia="Calibri"/>
          <w:szCs w:val="24"/>
        </w:rPr>
        <w:t>liquidity</w:t>
      </w:r>
      <w:r w:rsidRPr="008275EC">
        <w:rPr>
          <w:rFonts w:eastAsia="Calibri"/>
          <w:szCs w:val="24"/>
          <w:lang w:val="el-GR"/>
        </w:rPr>
        <w:t xml:space="preserve"> </w:t>
      </w:r>
      <w:r w:rsidRPr="008275EC">
        <w:rPr>
          <w:rFonts w:eastAsia="Calibri"/>
          <w:szCs w:val="24"/>
        </w:rPr>
        <w:t>risk</w:t>
      </w:r>
      <w:r w:rsidRPr="008275EC">
        <w:rPr>
          <w:rFonts w:eastAsia="Calibri"/>
          <w:szCs w:val="24"/>
          <w:lang w:val="el-GR"/>
        </w:rPr>
        <w:t>), θα αναλυθούν οι παρακάτω χρηματοοικονομικοί δείκτες (</w:t>
      </w:r>
      <w:r w:rsidRPr="008275EC">
        <w:rPr>
          <w:rFonts w:eastAsia="Calibri"/>
          <w:szCs w:val="24"/>
          <w:lang w:val="fr-FR"/>
        </w:rPr>
        <w:t>Dimitropoulos</w:t>
      </w:r>
      <w:r w:rsidRPr="008275EC">
        <w:rPr>
          <w:rFonts w:eastAsia="Calibri"/>
          <w:szCs w:val="24"/>
          <w:lang w:val="el-GR"/>
        </w:rPr>
        <w:t xml:space="preserve"> </w:t>
      </w:r>
      <w:r w:rsidRPr="008275EC">
        <w:rPr>
          <w:rFonts w:eastAsia="Calibri"/>
          <w:i/>
          <w:iCs/>
          <w:szCs w:val="24"/>
        </w:rPr>
        <w:t>et</w:t>
      </w:r>
      <w:r w:rsidRPr="008275EC">
        <w:rPr>
          <w:rFonts w:eastAsia="Calibri"/>
          <w:i/>
          <w:iCs/>
          <w:szCs w:val="24"/>
          <w:lang w:val="el-GR"/>
        </w:rPr>
        <w:t xml:space="preserve"> </w:t>
      </w:r>
      <w:r w:rsidRPr="008275EC">
        <w:rPr>
          <w:rFonts w:eastAsia="Calibri"/>
          <w:i/>
          <w:iCs/>
          <w:szCs w:val="24"/>
        </w:rPr>
        <w:t>al</w:t>
      </w:r>
      <w:r w:rsidRPr="008275EC">
        <w:rPr>
          <w:rFonts w:eastAsia="Calibri"/>
          <w:i/>
          <w:iCs/>
          <w:szCs w:val="24"/>
          <w:lang w:val="el-GR"/>
        </w:rPr>
        <w:t xml:space="preserve">., </w:t>
      </w:r>
      <w:r w:rsidRPr="008275EC">
        <w:rPr>
          <w:rFonts w:eastAsia="Calibri"/>
          <w:szCs w:val="24"/>
          <w:lang w:val="el-GR"/>
        </w:rPr>
        <w:t>2010):</w:t>
      </w:r>
    </w:p>
    <w:p w14:paraId="1D0420CA" w14:textId="77777777" w:rsidR="008275EC" w:rsidRPr="008275EC" w:rsidRDefault="008275EC" w:rsidP="005E36AE">
      <w:pPr>
        <w:numPr>
          <w:ilvl w:val="0"/>
          <w:numId w:val="19"/>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Λοιπές Υποχρεώσεις/ Συνολικές Υποχρεώσεις.</w:t>
      </w:r>
    </w:p>
    <w:p w14:paraId="426A95F0" w14:textId="77777777" w:rsidR="008275EC" w:rsidRPr="008275EC" w:rsidRDefault="008275EC" w:rsidP="005E36AE">
      <w:pPr>
        <w:numPr>
          <w:ilvl w:val="0"/>
          <w:numId w:val="19"/>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Αγοραία Αξία Ιδίων Κεφαλαίων/ Λογιστική Αξία Ιδίων Κεφαλαίων.</w:t>
      </w:r>
    </w:p>
    <w:p w14:paraId="0E06E6A4" w14:textId="77777777" w:rsidR="008275EC" w:rsidRPr="008275EC" w:rsidRDefault="008275EC" w:rsidP="005E36AE">
      <w:pPr>
        <w:spacing w:before="200" w:after="200"/>
        <w:ind w:firstLine="0"/>
        <w:rPr>
          <w:rFonts w:eastAsia="Calibri"/>
          <w:szCs w:val="24"/>
          <w:lang w:val="el-GR"/>
        </w:rPr>
      </w:pPr>
    </w:p>
    <w:p w14:paraId="7B46A21B" w14:textId="77777777" w:rsidR="005E36AE" w:rsidRDefault="008275EC" w:rsidP="005E36AE">
      <w:pPr>
        <w:spacing w:before="200" w:after="200"/>
        <w:ind w:firstLine="709"/>
        <w:rPr>
          <w:rFonts w:eastAsia="Calibri"/>
          <w:szCs w:val="24"/>
          <w:lang w:val="el-GR"/>
        </w:rPr>
      </w:pPr>
      <w:r w:rsidRPr="008275EC">
        <w:rPr>
          <w:rFonts w:eastAsia="Calibri"/>
          <w:szCs w:val="24"/>
          <w:lang w:val="el-GR"/>
        </w:rPr>
        <w:t>Όσον αφορά τον παράγοντα των τιμών των μετοχών, θα αναλυθούν οι μεταβολές των τιμών των μετοχών των υπό εξέταση τραπεζικών ιδρυμάτων.</w:t>
      </w:r>
    </w:p>
    <w:p w14:paraId="5FBEB820" w14:textId="77777777" w:rsidR="005E36AE" w:rsidRDefault="008275EC" w:rsidP="005E36AE">
      <w:pPr>
        <w:spacing w:before="200" w:after="200"/>
        <w:ind w:firstLine="709"/>
        <w:rPr>
          <w:rFonts w:eastAsia="Calibri"/>
          <w:szCs w:val="24"/>
          <w:lang w:val="el-GR"/>
        </w:rPr>
      </w:pPr>
      <w:r w:rsidRPr="008275EC">
        <w:rPr>
          <w:rFonts w:eastAsia="Calibri"/>
          <w:szCs w:val="24"/>
          <w:lang w:val="el-GR"/>
        </w:rPr>
        <w:t>Συνεχίζοντας, για την εξέταση των συσχετίσεων μεταξύ των παραπάνω συνιστωσών, και σύμφωνα με τα ερευνητικά ερωτήματα και τις ερευνητικές υποθέσεις, θα διεξαχθούν τρεις αναλύσεις γραμμικών παλινδρομήσεων</w:t>
      </w:r>
      <w:r w:rsidRPr="008275EC">
        <w:rPr>
          <w:rFonts w:eastAsia="Calibri"/>
          <w:szCs w:val="24"/>
          <w:vertAlign w:val="superscript"/>
          <w:lang w:val="el-GR"/>
        </w:rPr>
        <w:footnoteReference w:id="4"/>
      </w:r>
      <w:r w:rsidRPr="008275EC">
        <w:rPr>
          <w:rFonts w:eastAsia="Calibri"/>
          <w:szCs w:val="24"/>
          <w:lang w:val="el-GR"/>
        </w:rPr>
        <w:t>.</w:t>
      </w:r>
    </w:p>
    <w:p w14:paraId="710DD0B6" w14:textId="77777777" w:rsidR="005E36AE" w:rsidRDefault="008275EC" w:rsidP="005E36AE">
      <w:pPr>
        <w:spacing w:before="200" w:after="200"/>
        <w:ind w:firstLine="709"/>
        <w:rPr>
          <w:rFonts w:eastAsia="Calibri"/>
          <w:szCs w:val="24"/>
          <w:lang w:val="el-GR"/>
        </w:rPr>
      </w:pPr>
      <w:r w:rsidRPr="008275EC">
        <w:rPr>
          <w:rFonts w:eastAsia="Calibri"/>
          <w:szCs w:val="24"/>
          <w:lang w:val="el-GR"/>
        </w:rPr>
        <w:t>Στην πρώτη γραμμική ανάλυση παλινδρόμησης, η εξαρτημένη μεταβλητή θα είναι οι αποδόσεις των τιμών των μετοχών, των τεσσάρων υπό εξέταση τραπεζικών ιδρυμάτων (</w:t>
      </w:r>
      <w:r w:rsidRPr="008275EC">
        <w:rPr>
          <w:rFonts w:eastAsia="Calibri"/>
          <w:szCs w:val="24"/>
        </w:rPr>
        <w:t>SP</w:t>
      </w:r>
      <w:r w:rsidRPr="008275EC">
        <w:rPr>
          <w:rFonts w:eastAsia="Calibri"/>
          <w:szCs w:val="24"/>
          <w:lang w:val="el-GR"/>
        </w:rPr>
        <w:t>). Ως ανεξάρτητες μεταβλητές θα είναι οι μεταβολές των καθαρών κερδών των τραπεζών (</w:t>
      </w:r>
      <w:r w:rsidRPr="008275EC">
        <w:rPr>
          <w:rFonts w:eastAsia="Calibri"/>
          <w:szCs w:val="24"/>
        </w:rPr>
        <w:t>NI</w:t>
      </w:r>
      <w:r w:rsidRPr="008275EC">
        <w:rPr>
          <w:rFonts w:eastAsia="Calibri"/>
          <w:szCs w:val="24"/>
          <w:lang w:val="el-GR"/>
        </w:rPr>
        <w:t>), οι μεταβολές των δεικτών κερδοφορίας των τραπεζών [και πιο συγκεκριμένα ο δείκτης αποδοτικότητας των στοιχείων του ενεργητικού (</w:t>
      </w:r>
      <w:r w:rsidRPr="008275EC">
        <w:rPr>
          <w:rFonts w:eastAsia="Calibri"/>
          <w:szCs w:val="24"/>
        </w:rPr>
        <w:t>ROA</w:t>
      </w:r>
      <w:r w:rsidRPr="008275EC">
        <w:rPr>
          <w:rFonts w:eastAsia="Calibri"/>
          <w:szCs w:val="24"/>
          <w:lang w:val="el-GR"/>
        </w:rPr>
        <w:t>) και ο δείκτης αποδοτικότητας των στοιχείων των ιδίων κεφαλαίων (</w:t>
      </w:r>
      <w:r w:rsidRPr="008275EC">
        <w:rPr>
          <w:rFonts w:eastAsia="Calibri"/>
          <w:szCs w:val="24"/>
        </w:rPr>
        <w:t>ROE</w:t>
      </w:r>
      <w:r w:rsidRPr="008275EC">
        <w:rPr>
          <w:rFonts w:eastAsia="Calibri"/>
          <w:szCs w:val="24"/>
          <w:lang w:val="el-GR"/>
        </w:rPr>
        <w:t>)</w:t>
      </w:r>
      <w:r w:rsidRPr="008275EC">
        <w:rPr>
          <w:rFonts w:eastAsia="Calibri"/>
          <w:szCs w:val="24"/>
          <w:vertAlign w:val="superscript"/>
          <w:lang w:val="el-GR"/>
        </w:rPr>
        <w:footnoteReference w:id="5"/>
      </w:r>
      <w:r w:rsidRPr="008275EC">
        <w:rPr>
          <w:rFonts w:eastAsia="Calibri"/>
          <w:szCs w:val="24"/>
          <w:lang w:val="el-GR"/>
        </w:rPr>
        <w:t>], οι μεταβολές των κερδών ανά μετοχή (</w:t>
      </w:r>
      <w:r w:rsidRPr="008275EC">
        <w:rPr>
          <w:rFonts w:eastAsia="Calibri"/>
          <w:szCs w:val="24"/>
        </w:rPr>
        <w:t>EPS</w:t>
      </w:r>
      <w:r w:rsidRPr="008275EC">
        <w:rPr>
          <w:rFonts w:eastAsia="Calibri"/>
          <w:szCs w:val="24"/>
          <w:lang w:val="el-GR"/>
        </w:rPr>
        <w:t xml:space="preserve">), και οι μεταβολές των δεικτών των χρηματοοικονομικών κινδύνων. Πιο συγκεκριμένα, οι χρηματοοικονομικοί κίνδυνοι είναι ο </w:t>
      </w:r>
      <w:bookmarkStart w:id="46" w:name="_Hlk85142992"/>
      <w:r w:rsidRPr="008275EC">
        <w:rPr>
          <w:rFonts w:eastAsia="Calibri"/>
          <w:szCs w:val="24"/>
          <w:lang w:val="el-GR"/>
        </w:rPr>
        <w:t xml:space="preserve">κίνδυνος επιτοκίου (IRR), </w:t>
      </w:r>
      <w:r w:rsidRPr="008275EC">
        <w:rPr>
          <w:rFonts w:eastAsia="Calibri"/>
          <w:szCs w:val="24"/>
        </w:rPr>
        <w:t>o</w:t>
      </w:r>
      <w:r w:rsidRPr="008275EC">
        <w:rPr>
          <w:rFonts w:eastAsia="Calibri"/>
          <w:szCs w:val="24"/>
          <w:lang w:val="el-GR"/>
        </w:rPr>
        <w:t xml:space="preserve"> πιστωτικός κίνδυνος (CR), ο κίνδυνος φερεγγυότητας (SR) και ο κίνδυνος ρευστότητας (LR).</w:t>
      </w:r>
      <w:bookmarkEnd w:id="46"/>
    </w:p>
    <w:p w14:paraId="7FE04175" w14:textId="77777777" w:rsidR="005E36AE" w:rsidRDefault="005E36AE" w:rsidP="005E36AE">
      <w:pPr>
        <w:spacing w:before="200" w:after="200"/>
        <w:ind w:firstLine="709"/>
        <w:rPr>
          <w:rFonts w:eastAsia="Calibri"/>
          <w:szCs w:val="24"/>
          <w:lang w:val="el-GR"/>
        </w:rPr>
      </w:pPr>
    </w:p>
    <w:p w14:paraId="3E916FB5" w14:textId="6BCF042E" w:rsidR="008275EC" w:rsidRPr="002E7AE8" w:rsidRDefault="008275EC" w:rsidP="005E36AE">
      <w:pPr>
        <w:spacing w:before="200" w:after="200"/>
        <w:ind w:firstLine="709"/>
        <w:rPr>
          <w:rFonts w:eastAsia="Calibri"/>
          <w:szCs w:val="24"/>
          <w:lang w:val="da-DK"/>
        </w:rPr>
      </w:pPr>
      <w:r w:rsidRPr="008275EC">
        <w:rPr>
          <w:rFonts w:eastAsia="Calibri"/>
          <w:szCs w:val="24"/>
          <w:lang w:val="el-GR"/>
        </w:rPr>
        <w:t xml:space="preserve">Η πρώτη γραμμική ανάλυση παλινδρόμησης θα έχει την παρακάτω μορφή και έχει βασισθεί σε έρευνες των </w:t>
      </w:r>
      <w:r w:rsidRPr="008275EC">
        <w:rPr>
          <w:rFonts w:eastAsia="Calibri"/>
          <w:szCs w:val="24"/>
          <w:lang w:val="nl-NL"/>
        </w:rPr>
        <w:t>Anwaar (2016)</w:t>
      </w:r>
      <w:r w:rsidRPr="008275EC">
        <w:rPr>
          <w:rFonts w:eastAsia="Calibri"/>
          <w:szCs w:val="24"/>
          <w:lang w:val="el-GR"/>
        </w:rPr>
        <w:t>,</w:t>
      </w:r>
      <w:r w:rsidRPr="008275EC">
        <w:rPr>
          <w:rFonts w:eastAsia="Arial Unicode MS"/>
          <w:szCs w:val="24"/>
          <w:bdr w:val="nil"/>
          <w:lang w:val="el-GR"/>
        </w:rPr>
        <w:t xml:space="preserve"> </w:t>
      </w:r>
      <w:r w:rsidRPr="008275EC">
        <w:rPr>
          <w:rFonts w:eastAsia="Arial Unicode MS"/>
          <w:szCs w:val="24"/>
          <w:bdr w:val="nil"/>
          <w:lang w:val="fr-FR"/>
        </w:rPr>
        <w:t>Dimitropoulos</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i/>
          <w:iCs/>
          <w:szCs w:val="24"/>
          <w:bdr w:val="nil"/>
          <w:lang w:val="el-GR"/>
        </w:rPr>
        <w:t>.</w:t>
      </w:r>
      <w:r w:rsidRPr="008275EC">
        <w:rPr>
          <w:rFonts w:eastAsia="Arial Unicode MS"/>
          <w:szCs w:val="24"/>
          <w:bdr w:val="nil"/>
          <w:lang w:val="el-GR"/>
        </w:rPr>
        <w:t xml:space="preserve"> </w:t>
      </w:r>
      <w:r w:rsidRPr="008275EC">
        <w:rPr>
          <w:rFonts w:eastAsia="Arial Unicode MS"/>
          <w:szCs w:val="24"/>
          <w:bdr w:val="nil"/>
          <w:lang w:val="da-DK"/>
        </w:rPr>
        <w:t xml:space="preserve">(2010), Hove </w:t>
      </w:r>
      <w:r w:rsidRPr="008275EC">
        <w:rPr>
          <w:rFonts w:eastAsia="Arial Unicode MS"/>
          <w:i/>
          <w:iCs/>
          <w:szCs w:val="24"/>
          <w:bdr w:val="nil"/>
          <w:lang w:val="nl-NL"/>
        </w:rPr>
        <w:t>et al</w:t>
      </w:r>
      <w:r w:rsidRPr="008275EC">
        <w:rPr>
          <w:rFonts w:eastAsia="Arial Unicode MS"/>
          <w:szCs w:val="24"/>
          <w:bdr w:val="nil"/>
          <w:lang w:val="da-DK"/>
        </w:rPr>
        <w:t>. (2020),</w:t>
      </w:r>
      <w:r w:rsidRPr="008275EC">
        <w:rPr>
          <w:rFonts w:eastAsia="Calibri"/>
          <w:szCs w:val="24"/>
          <w:lang w:val="da-DK"/>
        </w:rPr>
        <w:t xml:space="preserve"> </w:t>
      </w:r>
      <w:r w:rsidRPr="008275EC">
        <w:rPr>
          <w:rFonts w:eastAsia="Arial Unicode MS"/>
          <w:szCs w:val="24"/>
          <w:bdr w:val="nil"/>
          <w:lang w:val="da-DK"/>
        </w:rPr>
        <w:t xml:space="preserve">Idowu </w:t>
      </w:r>
      <w:r w:rsidRPr="008275EC">
        <w:rPr>
          <w:rFonts w:eastAsia="Arial Unicode MS"/>
          <w:i/>
          <w:iCs/>
          <w:szCs w:val="24"/>
          <w:bdr w:val="nil"/>
          <w:lang w:val="nl-NL"/>
        </w:rPr>
        <w:t>et al</w:t>
      </w:r>
      <w:r w:rsidRPr="008275EC">
        <w:rPr>
          <w:rFonts w:eastAsia="Arial Unicode MS"/>
          <w:szCs w:val="24"/>
          <w:bdr w:val="nil"/>
          <w:lang w:val="da-DK"/>
        </w:rPr>
        <w:t xml:space="preserve">. (2018), Razak </w:t>
      </w:r>
      <w:r w:rsidRPr="008275EC">
        <w:rPr>
          <w:rFonts w:eastAsia="Arial Unicode MS"/>
          <w:i/>
          <w:iCs/>
          <w:szCs w:val="24"/>
          <w:bdr w:val="nil"/>
          <w:lang w:val="da-DK"/>
        </w:rPr>
        <w:t>et al.</w:t>
      </w:r>
      <w:r w:rsidRPr="008275EC">
        <w:rPr>
          <w:rFonts w:eastAsia="Arial Unicode MS"/>
          <w:szCs w:val="24"/>
          <w:bdr w:val="nil"/>
          <w:lang w:val="da-DK"/>
        </w:rPr>
        <w:t xml:space="preserve"> (2020), </w:t>
      </w:r>
      <w:r w:rsidRPr="008275EC">
        <w:rPr>
          <w:rFonts w:eastAsia="Arial Unicode MS"/>
          <w:szCs w:val="24"/>
          <w:bdr w:val="nil"/>
          <w:lang w:val="el-GR"/>
        </w:rPr>
        <w:t>και</w:t>
      </w:r>
      <w:r w:rsidRPr="008275EC">
        <w:rPr>
          <w:rFonts w:eastAsia="Arial Unicode MS"/>
          <w:szCs w:val="24"/>
          <w:bdr w:val="nil"/>
          <w:lang w:val="da-DK"/>
        </w:rPr>
        <w:t xml:space="preserve"> </w:t>
      </w:r>
      <w:r w:rsidRPr="008275EC">
        <w:rPr>
          <w:rFonts w:eastAsia="Calibri"/>
          <w:szCs w:val="24"/>
          <w:lang w:val="da-DK"/>
        </w:rPr>
        <w:t>Saleh (2015):</w:t>
      </w:r>
    </w:p>
    <w:p w14:paraId="6C774373" w14:textId="11EAA74D" w:rsidR="008275EC" w:rsidRPr="002E7AE8" w:rsidRDefault="008275EC" w:rsidP="005E36AE">
      <w:pPr>
        <w:spacing w:after="160"/>
        <w:ind w:left="1701" w:right="1138" w:hanging="567"/>
        <w:rPr>
          <w:rFonts w:eastAsia="Calibri"/>
          <w:szCs w:val="24"/>
          <w:lang w:val="da-DK"/>
        </w:rPr>
      </w:pPr>
      <w:bookmarkStart w:id="47" w:name="_Hlk85143104"/>
      <w:r w:rsidRPr="008275EC">
        <w:rPr>
          <w:rFonts w:eastAsia="Calibri"/>
          <w:sz w:val="28"/>
          <w:szCs w:val="28"/>
          <w:lang w:val="da-DK"/>
        </w:rPr>
        <w:t>SP</w:t>
      </w:r>
      <w:r w:rsidRPr="002E7AE8">
        <w:rPr>
          <w:rFonts w:eastAsia="Calibri"/>
          <w:sz w:val="28"/>
          <w:szCs w:val="28"/>
          <w:lang w:val="da-DK"/>
        </w:rPr>
        <w:t xml:space="preserve"> = </w:t>
      </w:r>
      <w:bookmarkStart w:id="48" w:name="_Hlk73133873"/>
      <w:r w:rsidRPr="008275EC">
        <w:rPr>
          <w:rFonts w:eastAsia="Calibri"/>
          <w:sz w:val="28"/>
          <w:szCs w:val="28"/>
          <w:lang w:val="el-GR"/>
        </w:rPr>
        <w:t>β</w:t>
      </w:r>
      <w:r w:rsidRPr="008275EC">
        <w:rPr>
          <w:rFonts w:eastAsia="Calibri"/>
          <w:sz w:val="28"/>
          <w:szCs w:val="28"/>
          <w:vertAlign w:val="subscript"/>
          <w:lang w:val="el-GR"/>
        </w:rPr>
        <w:t>ο</w:t>
      </w:r>
      <w:bookmarkEnd w:id="48"/>
      <w:r w:rsidRPr="002E7AE8">
        <w:rPr>
          <w:rFonts w:eastAsia="Calibri"/>
          <w:sz w:val="28"/>
          <w:szCs w:val="28"/>
          <w:lang w:val="da-DK"/>
        </w:rPr>
        <w:t xml:space="preserve"> + </w:t>
      </w:r>
      <w:r w:rsidRPr="008275EC">
        <w:rPr>
          <w:rFonts w:eastAsia="Calibri"/>
          <w:sz w:val="28"/>
          <w:szCs w:val="28"/>
          <w:lang w:val="el-GR"/>
        </w:rPr>
        <w:t>β</w:t>
      </w:r>
      <w:r w:rsidRPr="002E7AE8">
        <w:rPr>
          <w:rFonts w:eastAsia="Calibri"/>
          <w:sz w:val="28"/>
          <w:szCs w:val="28"/>
          <w:vertAlign w:val="subscript"/>
          <w:lang w:val="da-DK"/>
        </w:rPr>
        <w:t>1</w:t>
      </w:r>
      <w:r w:rsidRPr="002E7AE8">
        <w:rPr>
          <w:rFonts w:eastAsia="Calibri"/>
          <w:sz w:val="28"/>
          <w:szCs w:val="28"/>
          <w:lang w:val="da-DK"/>
        </w:rPr>
        <w:t>*</w:t>
      </w:r>
      <w:r w:rsidRPr="008275EC">
        <w:rPr>
          <w:rFonts w:eastAsia="Calibri"/>
          <w:sz w:val="28"/>
          <w:szCs w:val="28"/>
          <w:lang w:val="da-DK"/>
        </w:rPr>
        <w:t>NI</w:t>
      </w:r>
      <w:bookmarkStart w:id="49" w:name="_Hlk73134060"/>
      <w:r w:rsidRPr="002E7AE8">
        <w:rPr>
          <w:rFonts w:eastAsia="Calibri"/>
          <w:sz w:val="28"/>
          <w:szCs w:val="28"/>
          <w:lang w:val="da-DK"/>
        </w:rPr>
        <w:t xml:space="preserve"> + </w:t>
      </w:r>
      <w:r w:rsidRPr="008275EC">
        <w:rPr>
          <w:rFonts w:eastAsia="Calibri"/>
          <w:sz w:val="28"/>
          <w:szCs w:val="28"/>
          <w:lang w:val="el-GR"/>
        </w:rPr>
        <w:t>β</w:t>
      </w:r>
      <w:r w:rsidRPr="002E7AE8">
        <w:rPr>
          <w:rFonts w:eastAsia="Calibri"/>
          <w:sz w:val="28"/>
          <w:szCs w:val="28"/>
          <w:vertAlign w:val="subscript"/>
          <w:lang w:val="da-DK"/>
        </w:rPr>
        <w:t>2</w:t>
      </w:r>
      <w:r w:rsidRPr="002E7AE8">
        <w:rPr>
          <w:rFonts w:eastAsia="Calibri"/>
          <w:sz w:val="28"/>
          <w:szCs w:val="28"/>
          <w:lang w:val="da-DK"/>
        </w:rPr>
        <w:t>*</w:t>
      </w:r>
      <w:r w:rsidRPr="008275EC">
        <w:rPr>
          <w:rFonts w:eastAsia="Calibri"/>
          <w:sz w:val="28"/>
          <w:szCs w:val="28"/>
          <w:lang w:val="da-DK"/>
        </w:rPr>
        <w:t>ROA</w:t>
      </w:r>
      <w:r w:rsidRPr="002E7AE8">
        <w:rPr>
          <w:rFonts w:eastAsia="Calibri"/>
          <w:sz w:val="28"/>
          <w:szCs w:val="28"/>
          <w:lang w:val="da-DK"/>
        </w:rPr>
        <w:t xml:space="preserve"> </w:t>
      </w:r>
      <w:bookmarkEnd w:id="49"/>
      <w:r w:rsidRPr="002E7AE8">
        <w:rPr>
          <w:rFonts w:eastAsia="Calibri"/>
          <w:sz w:val="28"/>
          <w:szCs w:val="28"/>
          <w:lang w:val="da-DK"/>
        </w:rPr>
        <w:t xml:space="preserve">+ </w:t>
      </w:r>
      <w:r w:rsidRPr="008275EC">
        <w:rPr>
          <w:rFonts w:eastAsia="Calibri"/>
          <w:sz w:val="28"/>
          <w:szCs w:val="28"/>
          <w:lang w:val="el-GR"/>
        </w:rPr>
        <w:t>β</w:t>
      </w:r>
      <w:r w:rsidRPr="002E7AE8">
        <w:rPr>
          <w:rFonts w:eastAsia="Calibri"/>
          <w:sz w:val="28"/>
          <w:szCs w:val="28"/>
          <w:vertAlign w:val="subscript"/>
          <w:lang w:val="da-DK"/>
        </w:rPr>
        <w:t>3</w:t>
      </w:r>
      <w:r w:rsidRPr="002E7AE8">
        <w:rPr>
          <w:rFonts w:eastAsia="Calibri"/>
          <w:sz w:val="28"/>
          <w:szCs w:val="28"/>
          <w:lang w:val="da-DK"/>
        </w:rPr>
        <w:t>*</w:t>
      </w:r>
      <w:r w:rsidRPr="008275EC">
        <w:rPr>
          <w:rFonts w:eastAsia="Calibri"/>
          <w:sz w:val="28"/>
          <w:szCs w:val="28"/>
          <w:lang w:val="da-DK"/>
        </w:rPr>
        <w:t>ROE</w:t>
      </w:r>
      <w:r w:rsidRPr="002E7AE8">
        <w:rPr>
          <w:rFonts w:eastAsia="Calibri"/>
          <w:sz w:val="28"/>
          <w:szCs w:val="28"/>
          <w:lang w:val="da-DK"/>
        </w:rPr>
        <w:t xml:space="preserve"> + </w:t>
      </w:r>
      <w:r w:rsidRPr="008275EC">
        <w:rPr>
          <w:rFonts w:eastAsia="Calibri"/>
          <w:sz w:val="28"/>
          <w:szCs w:val="28"/>
          <w:lang w:val="el-GR"/>
        </w:rPr>
        <w:t>β</w:t>
      </w:r>
      <w:r w:rsidRPr="002E7AE8">
        <w:rPr>
          <w:rFonts w:eastAsia="Calibri"/>
          <w:sz w:val="28"/>
          <w:szCs w:val="28"/>
          <w:vertAlign w:val="subscript"/>
          <w:lang w:val="da-DK"/>
        </w:rPr>
        <w:t>4</w:t>
      </w:r>
      <w:r w:rsidRPr="002E7AE8">
        <w:rPr>
          <w:rFonts w:eastAsia="Calibri"/>
          <w:sz w:val="28"/>
          <w:szCs w:val="28"/>
          <w:lang w:val="da-DK"/>
        </w:rPr>
        <w:t>*</w:t>
      </w:r>
      <w:r w:rsidRPr="008275EC">
        <w:rPr>
          <w:rFonts w:eastAsia="Calibri"/>
          <w:sz w:val="28"/>
          <w:szCs w:val="28"/>
          <w:lang w:val="da-DK"/>
        </w:rPr>
        <w:t>EPS</w:t>
      </w:r>
      <w:r w:rsidRPr="002E7AE8">
        <w:rPr>
          <w:rFonts w:eastAsia="Calibri"/>
          <w:sz w:val="28"/>
          <w:szCs w:val="28"/>
          <w:lang w:val="da-DK"/>
        </w:rPr>
        <w:t xml:space="preserve"> + </w:t>
      </w:r>
      <w:bookmarkStart w:id="50" w:name="_Hlk73134255"/>
      <w:r w:rsidRPr="008275EC">
        <w:rPr>
          <w:rFonts w:eastAsia="Calibri"/>
          <w:sz w:val="28"/>
          <w:szCs w:val="28"/>
          <w:lang w:val="el-GR"/>
        </w:rPr>
        <w:t>β</w:t>
      </w:r>
      <w:r w:rsidRPr="002E7AE8">
        <w:rPr>
          <w:rFonts w:eastAsia="Calibri"/>
          <w:sz w:val="28"/>
          <w:szCs w:val="28"/>
          <w:vertAlign w:val="subscript"/>
          <w:lang w:val="da-DK"/>
        </w:rPr>
        <w:t>5</w:t>
      </w:r>
      <w:r w:rsidRPr="002E7AE8">
        <w:rPr>
          <w:rFonts w:eastAsia="Calibri"/>
          <w:sz w:val="28"/>
          <w:szCs w:val="28"/>
          <w:lang w:val="da-DK"/>
        </w:rPr>
        <w:t>*</w:t>
      </w:r>
      <w:r w:rsidRPr="008275EC">
        <w:rPr>
          <w:rFonts w:eastAsia="Calibri"/>
          <w:sz w:val="28"/>
          <w:szCs w:val="28"/>
          <w:lang w:val="da-DK"/>
        </w:rPr>
        <w:t>IRR</w:t>
      </w:r>
      <w:r w:rsidRPr="002E7AE8">
        <w:rPr>
          <w:rFonts w:eastAsia="Calibri"/>
          <w:sz w:val="28"/>
          <w:szCs w:val="28"/>
          <w:lang w:val="da-DK"/>
        </w:rPr>
        <w:t xml:space="preserve"> + </w:t>
      </w:r>
      <w:r w:rsidRPr="008275EC">
        <w:rPr>
          <w:rFonts w:eastAsia="Calibri"/>
          <w:sz w:val="28"/>
          <w:szCs w:val="28"/>
          <w:lang w:val="el-GR"/>
        </w:rPr>
        <w:t>β</w:t>
      </w:r>
      <w:r w:rsidRPr="002E7AE8">
        <w:rPr>
          <w:rFonts w:eastAsia="Calibri"/>
          <w:sz w:val="28"/>
          <w:szCs w:val="28"/>
          <w:vertAlign w:val="subscript"/>
          <w:lang w:val="da-DK"/>
        </w:rPr>
        <w:t>6</w:t>
      </w:r>
      <w:r w:rsidRPr="002E7AE8">
        <w:rPr>
          <w:rFonts w:eastAsia="Calibri"/>
          <w:sz w:val="28"/>
          <w:szCs w:val="28"/>
          <w:lang w:val="da-DK"/>
        </w:rPr>
        <w:t>*</w:t>
      </w:r>
      <w:r w:rsidRPr="008275EC">
        <w:rPr>
          <w:rFonts w:eastAsia="Calibri"/>
          <w:sz w:val="28"/>
          <w:szCs w:val="28"/>
          <w:lang w:val="da-DK"/>
        </w:rPr>
        <w:t>CR</w:t>
      </w:r>
      <w:r w:rsidRPr="002E7AE8">
        <w:rPr>
          <w:rFonts w:eastAsia="Calibri"/>
          <w:sz w:val="28"/>
          <w:szCs w:val="28"/>
          <w:lang w:val="da-DK"/>
        </w:rPr>
        <w:t xml:space="preserve"> </w:t>
      </w:r>
      <w:bookmarkEnd w:id="50"/>
      <w:r w:rsidRPr="002E7AE8">
        <w:rPr>
          <w:rFonts w:eastAsia="Calibri"/>
          <w:sz w:val="28"/>
          <w:szCs w:val="28"/>
          <w:lang w:val="da-DK"/>
        </w:rPr>
        <w:t xml:space="preserve">+ </w:t>
      </w:r>
      <w:r w:rsidRPr="008275EC">
        <w:rPr>
          <w:rFonts w:eastAsia="Calibri"/>
          <w:sz w:val="28"/>
          <w:szCs w:val="28"/>
          <w:lang w:val="el-GR"/>
        </w:rPr>
        <w:t>β</w:t>
      </w:r>
      <w:r w:rsidRPr="002E7AE8">
        <w:rPr>
          <w:rFonts w:eastAsia="Calibri"/>
          <w:sz w:val="28"/>
          <w:szCs w:val="28"/>
          <w:vertAlign w:val="subscript"/>
          <w:lang w:val="da-DK"/>
        </w:rPr>
        <w:t>7</w:t>
      </w:r>
      <w:r w:rsidRPr="002E7AE8">
        <w:rPr>
          <w:rFonts w:eastAsia="Calibri"/>
          <w:sz w:val="28"/>
          <w:szCs w:val="28"/>
          <w:lang w:val="da-DK"/>
        </w:rPr>
        <w:t>*</w:t>
      </w:r>
      <w:r w:rsidRPr="008275EC">
        <w:rPr>
          <w:rFonts w:eastAsia="Calibri"/>
          <w:sz w:val="28"/>
          <w:szCs w:val="28"/>
          <w:lang w:val="da-DK"/>
        </w:rPr>
        <w:t>SR</w:t>
      </w:r>
      <w:r w:rsidRPr="002E7AE8">
        <w:rPr>
          <w:rFonts w:eastAsia="Calibri"/>
          <w:sz w:val="28"/>
          <w:szCs w:val="28"/>
          <w:lang w:val="da-DK"/>
        </w:rPr>
        <w:t xml:space="preserve"> + </w:t>
      </w:r>
      <w:bookmarkStart w:id="51" w:name="_Hlk73134324"/>
      <w:r w:rsidRPr="008275EC">
        <w:rPr>
          <w:rFonts w:eastAsia="Calibri"/>
          <w:sz w:val="28"/>
          <w:szCs w:val="28"/>
          <w:lang w:val="el-GR"/>
        </w:rPr>
        <w:t>β</w:t>
      </w:r>
      <w:bookmarkEnd w:id="51"/>
      <w:r w:rsidRPr="002E7AE8">
        <w:rPr>
          <w:rFonts w:eastAsia="Calibri"/>
          <w:sz w:val="28"/>
          <w:szCs w:val="28"/>
          <w:vertAlign w:val="subscript"/>
          <w:lang w:val="da-DK"/>
        </w:rPr>
        <w:t>8</w:t>
      </w:r>
      <w:r w:rsidRPr="002E7AE8">
        <w:rPr>
          <w:rFonts w:eastAsia="Calibri"/>
          <w:sz w:val="28"/>
          <w:szCs w:val="28"/>
          <w:lang w:val="da-DK"/>
        </w:rPr>
        <w:t>*</w:t>
      </w:r>
      <w:r w:rsidRPr="008275EC">
        <w:rPr>
          <w:rFonts w:eastAsia="Calibri"/>
          <w:sz w:val="28"/>
          <w:szCs w:val="28"/>
          <w:lang w:val="da-DK"/>
        </w:rPr>
        <w:t>LR</w:t>
      </w:r>
      <w:r w:rsidRPr="002E7AE8">
        <w:rPr>
          <w:rFonts w:eastAsia="Calibri"/>
          <w:sz w:val="28"/>
          <w:szCs w:val="28"/>
          <w:lang w:val="da-DK"/>
        </w:rPr>
        <w:t xml:space="preserve"> + </w:t>
      </w:r>
      <w:r w:rsidRPr="008275EC">
        <w:rPr>
          <w:rFonts w:eastAsia="Calibri"/>
          <w:sz w:val="28"/>
          <w:szCs w:val="28"/>
          <w:lang w:val="el-GR"/>
        </w:rPr>
        <w:t>ε</w:t>
      </w:r>
      <w:r w:rsidR="00584864" w:rsidRPr="002E7AE8">
        <w:rPr>
          <w:rFonts w:eastAsia="Calibri"/>
          <w:sz w:val="28"/>
          <w:szCs w:val="28"/>
          <w:lang w:val="da-DK"/>
        </w:rPr>
        <w:t xml:space="preserve">  </w:t>
      </w:r>
      <w:r w:rsidR="005E36AE" w:rsidRPr="002E7AE8">
        <w:rPr>
          <w:rFonts w:eastAsia="Calibri"/>
          <w:sz w:val="28"/>
          <w:szCs w:val="28"/>
          <w:lang w:val="da-DK"/>
        </w:rPr>
        <w:t xml:space="preserve">                                                   </w:t>
      </w:r>
      <w:r w:rsidR="00584864" w:rsidRPr="002E7AE8">
        <w:rPr>
          <w:rFonts w:eastAsia="Calibri"/>
          <w:sz w:val="20"/>
          <w:lang w:val="da-DK"/>
        </w:rPr>
        <w:t>(1)</w:t>
      </w:r>
    </w:p>
    <w:bookmarkEnd w:id="47"/>
    <w:p w14:paraId="366384AB" w14:textId="77777777" w:rsidR="008275EC" w:rsidRPr="002E7AE8" w:rsidRDefault="008275EC" w:rsidP="005E36AE">
      <w:pPr>
        <w:spacing w:before="200" w:after="200"/>
        <w:ind w:firstLine="0"/>
        <w:rPr>
          <w:rFonts w:eastAsia="Calibri"/>
          <w:szCs w:val="24"/>
          <w:lang w:val="da-DK"/>
        </w:rPr>
      </w:pPr>
    </w:p>
    <w:p w14:paraId="0FD35B17" w14:textId="77777777" w:rsidR="005E36AE" w:rsidRDefault="008275EC" w:rsidP="005E36AE">
      <w:pPr>
        <w:spacing w:before="200" w:after="200"/>
        <w:ind w:firstLine="709"/>
        <w:rPr>
          <w:rFonts w:eastAsia="Calibri"/>
          <w:szCs w:val="24"/>
          <w:lang w:val="el-GR"/>
        </w:rPr>
      </w:pPr>
      <w:r w:rsidRPr="008275EC">
        <w:rPr>
          <w:rFonts w:eastAsia="Calibri"/>
          <w:szCs w:val="24"/>
          <w:lang w:val="el-GR"/>
        </w:rPr>
        <w:lastRenderedPageBreak/>
        <w:t>Μέσα από την εν λόγω γραμμική παλινδρόμηση θα ελεγχθεί εάν οι αποδόσεις των τιμών των μετοχών των υπό εξέταση ελληνικών τραπεζικών ιδρυμάτων επηρεάζονται (και πως επηρεάζονται) από τις μεταβολές των καθαρών κερδών, των χρηματοοικονομικών αποδόσεων, των κερδών ανά μετοχή, καθώς και από τις μεταβολές των χρηματοπιστωτικών κινδύνων των υπό εξέταση οργανισμών. Η παραπάνω γραμμική παλινδρόμηση συνδέεται και θα αναλύσει τις τέσσερις πρώτες ερευνητικές υποθέσεις που αναφέρθηκαν στο προηγούμενο κεφάλαιο.</w:t>
      </w:r>
    </w:p>
    <w:p w14:paraId="14C5F55C" w14:textId="77777777" w:rsidR="005E36AE" w:rsidRDefault="008275EC" w:rsidP="005E36AE">
      <w:pPr>
        <w:spacing w:before="200" w:after="200"/>
        <w:ind w:firstLine="709"/>
        <w:rPr>
          <w:rFonts w:eastAsia="Calibri"/>
          <w:szCs w:val="24"/>
          <w:lang w:val="el-GR"/>
        </w:rPr>
      </w:pPr>
      <w:r w:rsidRPr="008275EC">
        <w:rPr>
          <w:rFonts w:eastAsia="Calibri"/>
          <w:szCs w:val="24"/>
          <w:lang w:val="el-GR"/>
        </w:rPr>
        <w:t xml:space="preserve">Συνεχίζοντας, λαμβάνοντας υπόψη την παραπάνω γραμμική ανάλυση παλινδρόμησης, και για μεγαλύτερη αξιοπιστία των αποτελεσμάτων, θα διενεργηθούν άλλες δύο γραμμικές αναλύσεις παλινδρόμησης, παρεμφερείς με την προηγούμενη. </w:t>
      </w:r>
    </w:p>
    <w:p w14:paraId="7E44850A" w14:textId="77777777" w:rsidR="005E36AE" w:rsidRDefault="008275EC" w:rsidP="005E36AE">
      <w:pPr>
        <w:spacing w:before="200" w:after="200"/>
        <w:ind w:firstLine="709"/>
        <w:rPr>
          <w:rFonts w:eastAsia="Calibri"/>
          <w:szCs w:val="24"/>
          <w:lang w:val="el-GR"/>
        </w:rPr>
      </w:pPr>
      <w:r w:rsidRPr="008275EC">
        <w:rPr>
          <w:rFonts w:eastAsia="Calibri"/>
          <w:szCs w:val="24"/>
          <w:lang w:val="el-GR"/>
        </w:rPr>
        <w:t>Λοιπόν, η δεύτερη γραμμική ανάλυση παλινδρόμησης που θα διενεργηθεί θα έχει ως εξαρτημένη μεταβλητή τις μεταβολές των καθαρών κερδών των υπό εξέταση τραπεζικών ιδρυμάτων (</w:t>
      </w:r>
      <w:r w:rsidRPr="008275EC">
        <w:rPr>
          <w:rFonts w:eastAsia="Calibri"/>
          <w:szCs w:val="24"/>
        </w:rPr>
        <w:t>NI</w:t>
      </w:r>
      <w:r w:rsidRPr="008275EC">
        <w:rPr>
          <w:rFonts w:eastAsia="Calibri"/>
          <w:szCs w:val="24"/>
          <w:lang w:val="el-GR"/>
        </w:rPr>
        <w:t xml:space="preserve">), και ως ανεξάρτητες μεταβλητές τα αποτελέσματα των δεικτών των χρηματοοικονομικών κινδύνων [κίνδυνος επιτοκίου (IRR), πιστωτικός κίνδυνος (CR), κίνδυνος φερεγγυότητας (SR), κίνδυνος ρευστότητας (LR)]. </w:t>
      </w:r>
    </w:p>
    <w:p w14:paraId="2CAEA4C5" w14:textId="77777777" w:rsidR="005E36AE" w:rsidRDefault="005E36AE" w:rsidP="005E36AE">
      <w:pPr>
        <w:spacing w:before="200" w:after="200"/>
        <w:ind w:firstLine="709"/>
        <w:rPr>
          <w:rFonts w:eastAsia="Calibri"/>
          <w:szCs w:val="24"/>
          <w:lang w:val="el-GR"/>
        </w:rPr>
      </w:pPr>
    </w:p>
    <w:p w14:paraId="0AA19B24" w14:textId="221C2470" w:rsidR="008275EC" w:rsidRPr="008275EC" w:rsidRDefault="008275EC" w:rsidP="005E36AE">
      <w:pPr>
        <w:spacing w:before="200" w:after="200"/>
        <w:ind w:firstLine="709"/>
        <w:rPr>
          <w:rFonts w:eastAsia="Calibri"/>
          <w:szCs w:val="24"/>
          <w:lang w:val="el-GR"/>
        </w:rPr>
      </w:pPr>
      <w:r w:rsidRPr="008275EC">
        <w:rPr>
          <w:rFonts w:eastAsia="Calibri"/>
          <w:szCs w:val="24"/>
          <w:lang w:val="el-GR"/>
        </w:rPr>
        <w:t>Η δεύτερη ανάλυση παλινδρόμησης θα έχει την εξής μορφή:</w:t>
      </w:r>
    </w:p>
    <w:p w14:paraId="74C9703E" w14:textId="0683D2D7" w:rsidR="008275EC" w:rsidRPr="008275EC" w:rsidRDefault="008275EC" w:rsidP="005E36AE">
      <w:pPr>
        <w:tabs>
          <w:tab w:val="left" w:pos="9214"/>
        </w:tabs>
        <w:spacing w:after="160"/>
        <w:ind w:left="1134" w:firstLine="0"/>
        <w:contextualSpacing/>
        <w:rPr>
          <w:rFonts w:eastAsia="Calibri"/>
          <w:szCs w:val="24"/>
          <w:lang w:val="el-GR"/>
        </w:rPr>
      </w:pPr>
      <w:r w:rsidRPr="008275EC">
        <w:rPr>
          <w:rFonts w:eastAsia="Calibri"/>
          <w:sz w:val="28"/>
          <w:szCs w:val="28"/>
        </w:rPr>
        <w:t>NI</w:t>
      </w:r>
      <w:r w:rsidRPr="008275EC">
        <w:rPr>
          <w:rFonts w:eastAsia="Calibri"/>
          <w:sz w:val="28"/>
          <w:szCs w:val="28"/>
          <w:lang w:val="el-GR"/>
        </w:rPr>
        <w:t xml:space="preserve"> = β</w:t>
      </w:r>
      <w:r w:rsidRPr="008275EC">
        <w:rPr>
          <w:rFonts w:eastAsia="Calibri"/>
          <w:sz w:val="28"/>
          <w:szCs w:val="28"/>
          <w:vertAlign w:val="subscript"/>
          <w:lang w:val="el-GR"/>
        </w:rPr>
        <w:t>ο</w:t>
      </w:r>
      <w:r w:rsidRPr="008275EC">
        <w:rPr>
          <w:rFonts w:eastAsia="Calibri"/>
          <w:sz w:val="28"/>
          <w:szCs w:val="28"/>
          <w:lang w:val="el-GR"/>
        </w:rPr>
        <w:t xml:space="preserve"> + β</w:t>
      </w:r>
      <w:r w:rsidRPr="008275EC">
        <w:rPr>
          <w:rFonts w:eastAsia="Calibri"/>
          <w:sz w:val="28"/>
          <w:szCs w:val="28"/>
          <w:vertAlign w:val="subscript"/>
          <w:lang w:val="el-GR"/>
        </w:rPr>
        <w:t>1</w:t>
      </w:r>
      <w:r w:rsidRPr="008275EC">
        <w:rPr>
          <w:rFonts w:eastAsia="Calibri"/>
          <w:sz w:val="28"/>
          <w:szCs w:val="28"/>
          <w:lang w:val="el-GR"/>
        </w:rPr>
        <w:t>*</w:t>
      </w:r>
      <w:r w:rsidRPr="008275EC">
        <w:rPr>
          <w:rFonts w:eastAsia="Calibri"/>
          <w:sz w:val="28"/>
          <w:szCs w:val="28"/>
          <w:lang w:val="en-GB"/>
        </w:rPr>
        <w:t>IRR</w:t>
      </w:r>
      <w:r w:rsidRPr="008275EC">
        <w:rPr>
          <w:rFonts w:eastAsia="Calibri"/>
          <w:sz w:val="28"/>
          <w:szCs w:val="28"/>
          <w:lang w:val="el-GR"/>
        </w:rPr>
        <w:t xml:space="preserve"> + β</w:t>
      </w:r>
      <w:r w:rsidRPr="008275EC">
        <w:rPr>
          <w:rFonts w:eastAsia="Calibri"/>
          <w:sz w:val="28"/>
          <w:szCs w:val="28"/>
          <w:vertAlign w:val="subscript"/>
          <w:lang w:val="el-GR"/>
        </w:rPr>
        <w:t>2</w:t>
      </w:r>
      <w:r w:rsidRPr="008275EC">
        <w:rPr>
          <w:rFonts w:eastAsia="Calibri"/>
          <w:sz w:val="28"/>
          <w:szCs w:val="28"/>
          <w:lang w:val="el-GR"/>
        </w:rPr>
        <w:t>*</w:t>
      </w:r>
      <w:r w:rsidRPr="008275EC">
        <w:rPr>
          <w:rFonts w:eastAsia="Calibri"/>
          <w:sz w:val="28"/>
          <w:szCs w:val="28"/>
          <w:lang w:val="en-GB"/>
        </w:rPr>
        <w:t>CR</w:t>
      </w:r>
      <w:r w:rsidRPr="008275EC">
        <w:rPr>
          <w:rFonts w:eastAsia="Calibri"/>
          <w:sz w:val="28"/>
          <w:szCs w:val="28"/>
          <w:lang w:val="el-GR"/>
        </w:rPr>
        <w:t xml:space="preserve"> + β</w:t>
      </w:r>
      <w:r w:rsidRPr="008275EC">
        <w:rPr>
          <w:rFonts w:eastAsia="Calibri"/>
          <w:sz w:val="28"/>
          <w:szCs w:val="28"/>
          <w:vertAlign w:val="subscript"/>
          <w:lang w:val="el-GR"/>
        </w:rPr>
        <w:t>3</w:t>
      </w:r>
      <w:r w:rsidRPr="008275EC">
        <w:rPr>
          <w:rFonts w:eastAsia="Calibri"/>
          <w:sz w:val="28"/>
          <w:szCs w:val="28"/>
          <w:lang w:val="el-GR"/>
        </w:rPr>
        <w:t>*</w:t>
      </w:r>
      <w:r w:rsidRPr="008275EC">
        <w:rPr>
          <w:rFonts w:eastAsia="Calibri"/>
          <w:sz w:val="28"/>
          <w:szCs w:val="28"/>
          <w:lang w:val="en-GB"/>
        </w:rPr>
        <w:t>SR</w:t>
      </w:r>
      <w:r w:rsidRPr="008275EC">
        <w:rPr>
          <w:rFonts w:eastAsia="Calibri"/>
          <w:sz w:val="28"/>
          <w:szCs w:val="28"/>
          <w:lang w:val="el-GR"/>
        </w:rPr>
        <w:t xml:space="preserve"> + β</w:t>
      </w:r>
      <w:r w:rsidRPr="008275EC">
        <w:rPr>
          <w:rFonts w:eastAsia="Calibri"/>
          <w:sz w:val="28"/>
          <w:szCs w:val="28"/>
          <w:vertAlign w:val="subscript"/>
          <w:lang w:val="el-GR"/>
        </w:rPr>
        <w:t>4</w:t>
      </w:r>
      <w:r w:rsidRPr="008275EC">
        <w:rPr>
          <w:rFonts w:eastAsia="Calibri"/>
          <w:sz w:val="28"/>
          <w:szCs w:val="28"/>
          <w:lang w:val="el-GR"/>
        </w:rPr>
        <w:t>*</w:t>
      </w:r>
      <w:r w:rsidRPr="008275EC">
        <w:rPr>
          <w:rFonts w:eastAsia="Calibri"/>
          <w:sz w:val="28"/>
          <w:szCs w:val="28"/>
          <w:lang w:val="en-GB"/>
        </w:rPr>
        <w:t>LR</w:t>
      </w:r>
      <w:r w:rsidRPr="008275EC">
        <w:rPr>
          <w:rFonts w:eastAsia="Calibri"/>
          <w:sz w:val="28"/>
          <w:szCs w:val="28"/>
          <w:lang w:val="el-GR"/>
        </w:rPr>
        <w:t xml:space="preserve"> + ε</w:t>
      </w:r>
      <w:r w:rsidR="005E36AE">
        <w:rPr>
          <w:rFonts w:eastAsia="Calibri"/>
          <w:sz w:val="28"/>
          <w:szCs w:val="28"/>
          <w:lang w:val="el-GR"/>
        </w:rPr>
        <w:t xml:space="preserve">                                    </w:t>
      </w:r>
      <w:r w:rsidR="005E36AE" w:rsidRPr="005E36AE">
        <w:rPr>
          <w:rFonts w:eastAsia="Calibri"/>
          <w:sz w:val="20"/>
          <w:lang w:val="el-GR"/>
        </w:rPr>
        <w:t>(2)</w:t>
      </w:r>
    </w:p>
    <w:p w14:paraId="6EE3F541" w14:textId="77777777" w:rsidR="008275EC" w:rsidRPr="008275EC" w:rsidRDefault="008275EC" w:rsidP="005E36AE">
      <w:pPr>
        <w:spacing w:before="200" w:after="200"/>
        <w:ind w:firstLine="0"/>
        <w:rPr>
          <w:rFonts w:eastAsia="Calibri"/>
          <w:szCs w:val="24"/>
          <w:lang w:val="el-GR"/>
        </w:rPr>
      </w:pPr>
    </w:p>
    <w:p w14:paraId="48A2127B" w14:textId="77777777" w:rsidR="005E36AE" w:rsidRDefault="008275EC" w:rsidP="005E36AE">
      <w:pPr>
        <w:spacing w:before="200" w:after="200"/>
        <w:ind w:firstLine="709"/>
        <w:rPr>
          <w:rFonts w:eastAsia="Calibri"/>
          <w:szCs w:val="24"/>
          <w:lang w:val="el-GR"/>
        </w:rPr>
      </w:pPr>
      <w:r w:rsidRPr="008275EC">
        <w:rPr>
          <w:rFonts w:eastAsia="Calibri"/>
          <w:szCs w:val="24"/>
          <w:lang w:val="el-GR"/>
        </w:rPr>
        <w:t>Ακολούθως στην τρίτη ανάλυση παλινδρόμησης, ως εξαρτημένη μεταβλητή είναι οι μεταβολές των κερδών ανά μετοχή (</w:t>
      </w:r>
      <w:r w:rsidRPr="008275EC">
        <w:rPr>
          <w:rFonts w:eastAsia="Calibri"/>
          <w:szCs w:val="24"/>
        </w:rPr>
        <w:t>EPS</w:t>
      </w:r>
      <w:r w:rsidRPr="008275EC">
        <w:rPr>
          <w:rFonts w:eastAsia="Calibri"/>
          <w:szCs w:val="24"/>
          <w:lang w:val="el-GR"/>
        </w:rPr>
        <w:t xml:space="preserve">), και ως ανεξάρτητες μεταβλητές είναι τα αποτελέσματα των δεικτών των χρηματοοικονομικών κινδύνων [κίνδυνος επιτοκίου (IRR), πιστωτικός κίνδυνος (CR), κίνδυνος φερεγγυότητας (SR), κίνδυνος ρευστότητας (LR)]. </w:t>
      </w:r>
    </w:p>
    <w:p w14:paraId="224C7FC9" w14:textId="77777777" w:rsidR="005E36AE" w:rsidRDefault="005E36AE" w:rsidP="005E36AE">
      <w:pPr>
        <w:spacing w:before="200" w:after="200"/>
        <w:ind w:firstLine="709"/>
        <w:rPr>
          <w:rFonts w:eastAsia="Calibri"/>
          <w:szCs w:val="24"/>
          <w:lang w:val="el-GR"/>
        </w:rPr>
      </w:pPr>
    </w:p>
    <w:p w14:paraId="679D4615" w14:textId="42F3E95D" w:rsidR="008275EC" w:rsidRPr="008275EC" w:rsidRDefault="008275EC" w:rsidP="005E36AE">
      <w:pPr>
        <w:spacing w:before="200" w:after="200"/>
        <w:ind w:firstLine="709"/>
        <w:rPr>
          <w:rFonts w:eastAsia="Calibri"/>
          <w:szCs w:val="24"/>
          <w:lang w:val="el-GR"/>
        </w:rPr>
      </w:pPr>
      <w:r w:rsidRPr="008275EC">
        <w:rPr>
          <w:rFonts w:eastAsia="Calibri"/>
          <w:szCs w:val="24"/>
          <w:lang w:val="el-GR"/>
        </w:rPr>
        <w:t>Η τρίτη ανάλυση παλινδρόμησης θα έχει την εξής μορφή:</w:t>
      </w:r>
    </w:p>
    <w:p w14:paraId="17967710" w14:textId="17A7B088" w:rsidR="008275EC" w:rsidRPr="008275EC" w:rsidRDefault="008275EC" w:rsidP="005E36AE">
      <w:pPr>
        <w:spacing w:after="160"/>
        <w:ind w:left="1134" w:firstLine="0"/>
        <w:rPr>
          <w:rFonts w:eastAsia="Calibri"/>
          <w:szCs w:val="24"/>
          <w:lang w:val="el-GR"/>
        </w:rPr>
      </w:pPr>
      <w:r w:rsidRPr="008275EC">
        <w:rPr>
          <w:rFonts w:eastAsia="Calibri"/>
          <w:sz w:val="28"/>
          <w:szCs w:val="28"/>
          <w:lang w:val="en-GB"/>
        </w:rPr>
        <w:lastRenderedPageBreak/>
        <w:t>EPS</w:t>
      </w:r>
      <w:r w:rsidRPr="008275EC">
        <w:rPr>
          <w:rFonts w:eastAsia="Calibri"/>
          <w:sz w:val="28"/>
          <w:szCs w:val="28"/>
          <w:lang w:val="el-GR"/>
        </w:rPr>
        <w:t xml:space="preserve"> = β</w:t>
      </w:r>
      <w:r w:rsidRPr="008275EC">
        <w:rPr>
          <w:rFonts w:eastAsia="Calibri"/>
          <w:sz w:val="28"/>
          <w:szCs w:val="28"/>
          <w:vertAlign w:val="subscript"/>
          <w:lang w:val="el-GR"/>
        </w:rPr>
        <w:t>ο</w:t>
      </w:r>
      <w:r w:rsidRPr="008275EC">
        <w:rPr>
          <w:rFonts w:eastAsia="Calibri"/>
          <w:sz w:val="28"/>
          <w:szCs w:val="28"/>
          <w:lang w:val="el-GR"/>
        </w:rPr>
        <w:t xml:space="preserve"> + β</w:t>
      </w:r>
      <w:r w:rsidRPr="008275EC">
        <w:rPr>
          <w:rFonts w:eastAsia="Calibri"/>
          <w:sz w:val="28"/>
          <w:szCs w:val="28"/>
          <w:vertAlign w:val="subscript"/>
          <w:lang w:val="el-GR"/>
        </w:rPr>
        <w:t>1</w:t>
      </w:r>
      <w:r w:rsidRPr="008275EC">
        <w:rPr>
          <w:rFonts w:eastAsia="Calibri"/>
          <w:sz w:val="28"/>
          <w:szCs w:val="28"/>
          <w:lang w:val="el-GR"/>
        </w:rPr>
        <w:t>*</w:t>
      </w:r>
      <w:r w:rsidRPr="008275EC">
        <w:rPr>
          <w:rFonts w:eastAsia="Calibri"/>
          <w:sz w:val="28"/>
          <w:szCs w:val="28"/>
          <w:lang w:val="en-GB"/>
        </w:rPr>
        <w:t>IRR</w:t>
      </w:r>
      <w:r w:rsidRPr="008275EC">
        <w:rPr>
          <w:rFonts w:eastAsia="Calibri"/>
          <w:sz w:val="28"/>
          <w:szCs w:val="28"/>
          <w:lang w:val="el-GR"/>
        </w:rPr>
        <w:t xml:space="preserve"> + β</w:t>
      </w:r>
      <w:r w:rsidRPr="008275EC">
        <w:rPr>
          <w:rFonts w:eastAsia="Calibri"/>
          <w:sz w:val="28"/>
          <w:szCs w:val="28"/>
          <w:vertAlign w:val="subscript"/>
          <w:lang w:val="el-GR"/>
        </w:rPr>
        <w:t>2</w:t>
      </w:r>
      <w:r w:rsidRPr="008275EC">
        <w:rPr>
          <w:rFonts w:eastAsia="Calibri"/>
          <w:sz w:val="28"/>
          <w:szCs w:val="28"/>
          <w:lang w:val="el-GR"/>
        </w:rPr>
        <w:t>*</w:t>
      </w:r>
      <w:r w:rsidRPr="008275EC">
        <w:rPr>
          <w:rFonts w:eastAsia="Calibri"/>
          <w:sz w:val="28"/>
          <w:szCs w:val="28"/>
          <w:lang w:val="en-GB"/>
        </w:rPr>
        <w:t>CR</w:t>
      </w:r>
      <w:r w:rsidRPr="008275EC">
        <w:rPr>
          <w:rFonts w:eastAsia="Calibri"/>
          <w:sz w:val="28"/>
          <w:szCs w:val="28"/>
          <w:lang w:val="el-GR"/>
        </w:rPr>
        <w:t xml:space="preserve"> + β</w:t>
      </w:r>
      <w:r w:rsidRPr="008275EC">
        <w:rPr>
          <w:rFonts w:eastAsia="Calibri"/>
          <w:sz w:val="28"/>
          <w:szCs w:val="28"/>
          <w:vertAlign w:val="subscript"/>
          <w:lang w:val="el-GR"/>
        </w:rPr>
        <w:t>3</w:t>
      </w:r>
      <w:r w:rsidRPr="008275EC">
        <w:rPr>
          <w:rFonts w:eastAsia="Calibri"/>
          <w:sz w:val="28"/>
          <w:szCs w:val="28"/>
          <w:lang w:val="el-GR"/>
        </w:rPr>
        <w:t>*</w:t>
      </w:r>
      <w:r w:rsidRPr="008275EC">
        <w:rPr>
          <w:rFonts w:eastAsia="Calibri"/>
          <w:sz w:val="28"/>
          <w:szCs w:val="28"/>
          <w:lang w:val="en-GB"/>
        </w:rPr>
        <w:t>SR</w:t>
      </w:r>
      <w:r w:rsidRPr="008275EC">
        <w:rPr>
          <w:rFonts w:eastAsia="Calibri"/>
          <w:sz w:val="28"/>
          <w:szCs w:val="28"/>
          <w:lang w:val="el-GR"/>
        </w:rPr>
        <w:t xml:space="preserve"> + β</w:t>
      </w:r>
      <w:r w:rsidRPr="008275EC">
        <w:rPr>
          <w:rFonts w:eastAsia="Calibri"/>
          <w:sz w:val="28"/>
          <w:szCs w:val="28"/>
          <w:vertAlign w:val="subscript"/>
          <w:lang w:val="el-GR"/>
        </w:rPr>
        <w:t>4</w:t>
      </w:r>
      <w:r w:rsidRPr="008275EC">
        <w:rPr>
          <w:rFonts w:eastAsia="Calibri"/>
          <w:sz w:val="28"/>
          <w:szCs w:val="28"/>
          <w:lang w:val="el-GR"/>
        </w:rPr>
        <w:t>*</w:t>
      </w:r>
      <w:r w:rsidRPr="008275EC">
        <w:rPr>
          <w:rFonts w:eastAsia="Calibri"/>
          <w:sz w:val="28"/>
          <w:szCs w:val="28"/>
          <w:lang w:val="en-GB"/>
        </w:rPr>
        <w:t>LR</w:t>
      </w:r>
      <w:r w:rsidRPr="008275EC">
        <w:rPr>
          <w:rFonts w:eastAsia="Calibri"/>
          <w:sz w:val="28"/>
          <w:szCs w:val="28"/>
          <w:lang w:val="el-GR"/>
        </w:rPr>
        <w:t xml:space="preserve"> + ε</w:t>
      </w:r>
      <w:r w:rsidRPr="008275EC">
        <w:rPr>
          <w:rFonts w:eastAsia="Calibri"/>
          <w:sz w:val="28"/>
          <w:szCs w:val="28"/>
          <w:vertAlign w:val="superscript"/>
          <w:lang w:val="el-GR"/>
        </w:rPr>
        <w:footnoteReference w:id="6"/>
      </w:r>
      <w:r w:rsidR="005E36AE">
        <w:rPr>
          <w:rFonts w:eastAsia="Calibri"/>
          <w:sz w:val="28"/>
          <w:szCs w:val="28"/>
          <w:lang w:val="el-GR"/>
        </w:rPr>
        <w:t xml:space="preserve">                                   </w:t>
      </w:r>
      <w:r w:rsidR="005E36AE" w:rsidRPr="005E36AE">
        <w:rPr>
          <w:rFonts w:eastAsia="Calibri"/>
          <w:sz w:val="20"/>
          <w:lang w:val="el-GR"/>
        </w:rPr>
        <w:t>(3)</w:t>
      </w:r>
    </w:p>
    <w:p w14:paraId="026255B7" w14:textId="77777777" w:rsidR="008275EC" w:rsidRPr="008275EC" w:rsidRDefault="008275EC" w:rsidP="005E36AE">
      <w:pPr>
        <w:spacing w:after="160"/>
        <w:ind w:left="1500" w:firstLine="0"/>
        <w:rPr>
          <w:rFonts w:eastAsia="Calibri"/>
          <w:szCs w:val="24"/>
          <w:lang w:val="el-GR"/>
        </w:rPr>
      </w:pPr>
    </w:p>
    <w:p w14:paraId="1C738C29" w14:textId="77777777" w:rsidR="005E36AE" w:rsidRDefault="008275EC" w:rsidP="005E36AE">
      <w:pPr>
        <w:spacing w:before="200" w:after="200"/>
        <w:ind w:firstLine="709"/>
        <w:rPr>
          <w:rFonts w:eastAsia="Calibri"/>
          <w:szCs w:val="24"/>
          <w:lang w:val="el-GR"/>
        </w:rPr>
      </w:pPr>
      <w:r w:rsidRPr="008275EC">
        <w:rPr>
          <w:rFonts w:eastAsia="Calibri"/>
          <w:szCs w:val="24"/>
          <w:lang w:val="el-GR"/>
        </w:rPr>
        <w:t>Η δεύτερη γραμμική παλινδρόμηση εξετάζει εάν οι μεταβολές των καθαρών κερδών των υπό εξέταση ελληνικών τραπεζικών ιδρυμάτων επηρεάζονται (και πως επηρεάζονται) από τις μεταβολές των χρηματοπιστωτικών κινδύνων των υπό εξέταση οργανισμών. Η τρίτη γραμμική παλινδρόμηση εξετάζει εάν οι μεταβολές των κερδών ανά μετοχή των υπό εξέταση ελληνικών τραπεζικών ιδρυμάτων επηρεάζονται (και πως επηρεάζονται) από τις μεταβολές των χρηματοπιστωτικών κινδύνων των υπό εξέταση οργανισμών. Η δεύτερη και η τρίτη γραμμικές παλινδρομήσεις συνδέονται και θα αναλύσουν την πέμπτη -και τελευταία- ερευνητική υπόθεση που αναφέρθηκε στο προηγούμενο κεφάλαιο.</w:t>
      </w:r>
      <w:r w:rsidR="005E36AE">
        <w:rPr>
          <w:rFonts w:eastAsia="Calibri"/>
          <w:szCs w:val="24"/>
          <w:lang w:val="el-GR"/>
        </w:rPr>
        <w:t xml:space="preserve"> </w:t>
      </w:r>
    </w:p>
    <w:p w14:paraId="51B338E6" w14:textId="63750CA9" w:rsidR="008275EC" w:rsidRPr="008275EC" w:rsidRDefault="008275EC" w:rsidP="005E36AE">
      <w:pPr>
        <w:spacing w:before="200" w:after="200"/>
        <w:ind w:firstLine="709"/>
        <w:rPr>
          <w:rFonts w:eastAsia="Calibri"/>
          <w:szCs w:val="24"/>
          <w:lang w:val="el-GR"/>
        </w:rPr>
      </w:pPr>
      <w:r w:rsidRPr="008275EC">
        <w:rPr>
          <w:rFonts w:eastAsia="Calibri"/>
          <w:szCs w:val="24"/>
          <w:lang w:val="el-GR"/>
        </w:rPr>
        <w:t xml:space="preserve">Ολοκληρώνοντας, η εξέταση των συσχετίσεων των χρηματοοικονομικών δεδομένων και η ανάλυση της γραμμικής παλινδρόμησης θα πραγματοποιηθεί μέσα από τους κατάλληλους τύπου του </w:t>
      </w:r>
      <w:r w:rsidRPr="008275EC">
        <w:rPr>
          <w:rFonts w:eastAsia="Calibri"/>
          <w:szCs w:val="24"/>
        </w:rPr>
        <w:t>Microsoft</w:t>
      </w:r>
      <w:r w:rsidRPr="008275EC">
        <w:rPr>
          <w:rFonts w:eastAsia="Calibri"/>
          <w:szCs w:val="24"/>
          <w:lang w:val="el-GR"/>
        </w:rPr>
        <w:t xml:space="preserve"> </w:t>
      </w:r>
      <w:r w:rsidRPr="008275EC">
        <w:rPr>
          <w:rFonts w:eastAsia="Calibri"/>
          <w:szCs w:val="24"/>
        </w:rPr>
        <w:t>Office</w:t>
      </w:r>
      <w:r w:rsidRPr="008275EC">
        <w:rPr>
          <w:rFonts w:eastAsia="Calibri"/>
          <w:szCs w:val="24"/>
          <w:lang w:val="el-GR"/>
        </w:rPr>
        <w:t xml:space="preserve"> </w:t>
      </w:r>
      <w:r w:rsidRPr="008275EC">
        <w:rPr>
          <w:rFonts w:eastAsia="Calibri"/>
          <w:szCs w:val="24"/>
        </w:rPr>
        <w:t>Excel</w:t>
      </w:r>
      <w:r w:rsidRPr="008275EC">
        <w:rPr>
          <w:rFonts w:eastAsia="Calibri"/>
          <w:szCs w:val="24"/>
          <w:lang w:val="el-GR"/>
        </w:rPr>
        <w:t xml:space="preserve"> και του λογισμικού πακέτου </w:t>
      </w:r>
      <w:r w:rsidRPr="008275EC">
        <w:rPr>
          <w:rFonts w:eastAsia="Calibri"/>
          <w:szCs w:val="24"/>
        </w:rPr>
        <w:t>SPSS</w:t>
      </w:r>
      <w:r w:rsidRPr="008275EC">
        <w:rPr>
          <w:rFonts w:eastAsia="Calibri"/>
          <w:szCs w:val="24"/>
          <w:lang w:val="el-GR"/>
        </w:rPr>
        <w:t xml:space="preserve">. </w:t>
      </w:r>
    </w:p>
    <w:p w14:paraId="639ABBE6" w14:textId="206CF2DE" w:rsidR="008275EC" w:rsidRDefault="008275EC" w:rsidP="005E36AE">
      <w:pPr>
        <w:spacing w:before="200" w:after="200"/>
        <w:ind w:firstLine="0"/>
        <w:rPr>
          <w:rFonts w:eastAsia="Calibri"/>
          <w:szCs w:val="24"/>
          <w:lang w:val="el-GR"/>
        </w:rPr>
      </w:pPr>
    </w:p>
    <w:p w14:paraId="09BDE7F2" w14:textId="555ABAB8" w:rsidR="00B31132" w:rsidRPr="008275EC" w:rsidRDefault="005E36AE" w:rsidP="005E36AE">
      <w:pPr>
        <w:pBdr>
          <w:top w:val="nil"/>
          <w:left w:val="nil"/>
          <w:bottom w:val="nil"/>
          <w:right w:val="nil"/>
          <w:between w:val="nil"/>
          <w:bar w:val="nil"/>
        </w:pBdr>
        <w:spacing w:before="200" w:after="200"/>
        <w:ind w:firstLine="0"/>
        <w:jc w:val="center"/>
        <w:rPr>
          <w:rFonts w:eastAsia="Arial Unicode MS"/>
          <w:b/>
          <w:bCs/>
          <w:szCs w:val="24"/>
          <w:bdr w:val="nil"/>
          <w:lang w:val="el-GR"/>
        </w:rPr>
      </w:pPr>
      <w:r w:rsidRPr="005E36AE">
        <w:rPr>
          <w:rFonts w:eastAsia="Arial Unicode MS"/>
          <w:b/>
          <w:bCs/>
          <w:szCs w:val="24"/>
          <w:bdr w:val="nil"/>
          <w:lang w:val="el-GR"/>
        </w:rPr>
        <w:t>3</w:t>
      </w:r>
      <w:r w:rsidR="00B31132" w:rsidRPr="008275EC">
        <w:rPr>
          <w:rFonts w:eastAsia="Arial Unicode MS"/>
          <w:b/>
          <w:bCs/>
          <w:szCs w:val="24"/>
          <w:bdr w:val="nil"/>
          <w:lang w:val="el-GR"/>
        </w:rPr>
        <w:t xml:space="preserve">.3. </w:t>
      </w:r>
      <w:bookmarkStart w:id="52" w:name="_Hlk84621531"/>
      <w:r w:rsidR="00B31132" w:rsidRPr="008275EC">
        <w:rPr>
          <w:rFonts w:eastAsia="Arial Unicode MS"/>
          <w:b/>
          <w:bCs/>
          <w:szCs w:val="24"/>
          <w:bdr w:val="nil"/>
          <w:lang w:val="el-GR"/>
        </w:rPr>
        <w:t>ΣΧΕΤΙΚΕΣ ΈΡΕΥΝΕΣ ΣΤΗΝ ΒΙΒΛΙΟΓΡΑΦΙΑ</w:t>
      </w:r>
      <w:bookmarkEnd w:id="52"/>
    </w:p>
    <w:p w14:paraId="17DD7421" w14:textId="77777777" w:rsidR="005E36AE" w:rsidRDefault="00B31132" w:rsidP="005E36AE">
      <w:pPr>
        <w:pBdr>
          <w:top w:val="nil"/>
          <w:left w:val="nil"/>
          <w:bottom w:val="nil"/>
          <w:right w:val="nil"/>
          <w:between w:val="nil"/>
          <w:bar w:val="nil"/>
        </w:pBdr>
        <w:spacing w:before="200" w:after="200"/>
        <w:ind w:firstLine="709"/>
        <w:rPr>
          <w:rFonts w:eastAsia="Arial Unicode MS"/>
          <w:szCs w:val="24"/>
          <w:bdr w:val="nil"/>
          <w:lang w:val="el-GR"/>
        </w:rPr>
      </w:pPr>
      <w:r w:rsidRPr="008275EC">
        <w:rPr>
          <w:rFonts w:eastAsia="Arial Unicode MS"/>
          <w:szCs w:val="24"/>
          <w:bdr w:val="nil"/>
          <w:lang w:val="el-GR"/>
        </w:rPr>
        <w:t xml:space="preserve">Η προαναφερθείσα μεθοδολογία έρευνας που θα διεξαχθεί, καθώς και ο τρόπος με τα απαραίτητα οικονομικά δεδομένα θα ανακτηθούν βασίζονται στη σχετική βιβλιογραφική ανασκόπηση. Έμπνευση για αυτήν την ακαδημαϊκή εργασία ήταν η μελέτη των </w:t>
      </w:r>
      <w:r w:rsidRPr="008275EC">
        <w:rPr>
          <w:rFonts w:eastAsia="Arial Unicode MS"/>
          <w:szCs w:val="24"/>
          <w:bdr w:val="nil"/>
        </w:rPr>
        <w:t>Dimitropoulos</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szCs w:val="24"/>
          <w:bdr w:val="nil"/>
          <w:lang w:val="el-GR"/>
        </w:rPr>
        <w:t>. (2010), οι οποίοι εξέτασαν τη σχέση μεταξύ των χρηματοπιστωτικών κινδύνων και των αποδόσεων των τιμών των μετοχών, για τους χρηματοπιστωτικούς οργανισμούς που ήταν εισηγμένοι στο Χρηματιστήριο Αθηνών. Ακόμη, οι συγγραφείς έλαβαν υπόψη τους σημαντικούς κινδύνους, όπως ο κίνδυνος επιτοκίου, ο πιστωτικός κίνδυνος, ο κίνδυνος ρευστότητας και ο κίνδυνος φερεγγυότητας.</w:t>
      </w:r>
    </w:p>
    <w:p w14:paraId="1588F8D3" w14:textId="77777777" w:rsidR="005E36AE" w:rsidRDefault="00B31132" w:rsidP="005E36AE">
      <w:pPr>
        <w:pBdr>
          <w:top w:val="nil"/>
          <w:left w:val="nil"/>
          <w:bottom w:val="nil"/>
          <w:right w:val="nil"/>
          <w:between w:val="nil"/>
          <w:bar w:val="nil"/>
        </w:pBdr>
        <w:spacing w:before="200" w:after="200"/>
        <w:ind w:firstLine="709"/>
        <w:rPr>
          <w:rFonts w:eastAsia="Arial Unicode MS"/>
          <w:szCs w:val="24"/>
          <w:bdr w:val="nil"/>
          <w:lang w:val="el-GR"/>
        </w:rPr>
      </w:pPr>
      <w:r w:rsidRPr="008275EC">
        <w:rPr>
          <w:rFonts w:eastAsia="Arial Unicode MS"/>
          <w:szCs w:val="24"/>
          <w:bdr w:val="nil"/>
          <w:lang w:val="el-GR"/>
        </w:rPr>
        <w:lastRenderedPageBreak/>
        <w:t xml:space="preserve">Ακολούθως, οι μεθοδολογίες που χρησιμοποιήθηκαν στις έρευνες των </w:t>
      </w:r>
      <w:r w:rsidRPr="008275EC">
        <w:rPr>
          <w:rFonts w:eastAsia="Arial Unicode MS"/>
          <w:szCs w:val="24"/>
          <w:bdr w:val="nil"/>
        </w:rPr>
        <w:t>Saleh</w:t>
      </w:r>
      <w:r w:rsidRPr="008275EC">
        <w:rPr>
          <w:rFonts w:eastAsia="Arial Unicode MS"/>
          <w:szCs w:val="24"/>
          <w:bdr w:val="nil"/>
          <w:lang w:val="el-GR"/>
        </w:rPr>
        <w:t xml:space="preserve"> (2015), Anwaar (2016), </w:t>
      </w:r>
      <w:r w:rsidRPr="008275EC">
        <w:rPr>
          <w:rFonts w:eastAsia="Arial Unicode MS"/>
          <w:szCs w:val="24"/>
          <w:bdr w:val="nil"/>
        </w:rPr>
        <w:t>Ndirangu</w:t>
      </w:r>
      <w:r w:rsidRPr="008275EC">
        <w:rPr>
          <w:rFonts w:eastAsia="Arial Unicode MS"/>
          <w:szCs w:val="24"/>
          <w:bdr w:val="nil"/>
          <w:lang w:val="el-GR"/>
        </w:rPr>
        <w:t xml:space="preserve"> (2016), </w:t>
      </w:r>
      <w:r w:rsidRPr="008275EC">
        <w:rPr>
          <w:rFonts w:eastAsia="Arial Unicode MS"/>
          <w:szCs w:val="24"/>
          <w:bdr w:val="nil"/>
          <w:lang w:val="en-GB"/>
        </w:rPr>
        <w:t>Idowu</w:t>
      </w:r>
      <w:r w:rsidRPr="008275EC">
        <w:rPr>
          <w:rFonts w:eastAsia="Arial Unicode MS"/>
          <w:szCs w:val="24"/>
          <w:bdr w:val="nil"/>
          <w:lang w:val="el-GR"/>
        </w:rPr>
        <w:t xml:space="preserve"> </w:t>
      </w:r>
      <w:r w:rsidRPr="008275EC">
        <w:rPr>
          <w:rFonts w:eastAsia="Arial Unicode MS"/>
          <w:i/>
          <w:iCs/>
          <w:szCs w:val="24"/>
          <w:bdr w:val="nil"/>
          <w:lang w:val="en-GB"/>
        </w:rPr>
        <w:t>et</w:t>
      </w:r>
      <w:r w:rsidRPr="008275EC">
        <w:rPr>
          <w:rFonts w:eastAsia="Arial Unicode MS"/>
          <w:i/>
          <w:iCs/>
          <w:szCs w:val="24"/>
          <w:bdr w:val="nil"/>
          <w:lang w:val="el-GR"/>
        </w:rPr>
        <w:t xml:space="preserve"> </w:t>
      </w:r>
      <w:r w:rsidRPr="008275EC">
        <w:rPr>
          <w:rFonts w:eastAsia="Arial Unicode MS"/>
          <w:i/>
          <w:iCs/>
          <w:szCs w:val="24"/>
          <w:bdr w:val="nil"/>
          <w:lang w:val="en-GB"/>
        </w:rPr>
        <w:t>al</w:t>
      </w:r>
      <w:r w:rsidRPr="008275EC">
        <w:rPr>
          <w:rFonts w:eastAsia="Arial Unicode MS"/>
          <w:szCs w:val="24"/>
          <w:bdr w:val="nil"/>
          <w:lang w:val="el-GR"/>
        </w:rPr>
        <w:t xml:space="preserve">. </w:t>
      </w:r>
      <w:r w:rsidRPr="008275EC">
        <w:rPr>
          <w:rFonts w:eastAsia="Arial Unicode MS"/>
          <w:szCs w:val="24"/>
          <w:bdr w:val="nil"/>
          <w:lang w:val="da-DK"/>
        </w:rPr>
        <w:t xml:space="preserve">(2018), Hove </w:t>
      </w:r>
      <w:r w:rsidRPr="008275EC">
        <w:rPr>
          <w:rFonts w:eastAsia="Arial Unicode MS"/>
          <w:i/>
          <w:iCs/>
          <w:szCs w:val="24"/>
          <w:bdr w:val="nil"/>
          <w:lang w:val="da-DK"/>
        </w:rPr>
        <w:t>et al</w:t>
      </w:r>
      <w:r w:rsidRPr="008275EC">
        <w:rPr>
          <w:rFonts w:eastAsia="Arial Unicode MS"/>
          <w:szCs w:val="24"/>
          <w:bdr w:val="nil"/>
          <w:lang w:val="da-DK"/>
        </w:rPr>
        <w:t xml:space="preserve">. (2020), Razak </w:t>
      </w:r>
      <w:r w:rsidRPr="008275EC">
        <w:rPr>
          <w:rFonts w:eastAsia="Arial Unicode MS"/>
          <w:i/>
          <w:iCs/>
          <w:szCs w:val="24"/>
          <w:bdr w:val="nil"/>
          <w:lang w:val="da-DK"/>
        </w:rPr>
        <w:t>et al</w:t>
      </w:r>
      <w:r w:rsidRPr="008275EC">
        <w:rPr>
          <w:rFonts w:eastAsia="Arial Unicode MS"/>
          <w:szCs w:val="24"/>
          <w:bdr w:val="nil"/>
          <w:lang w:val="da-DK"/>
        </w:rPr>
        <w:t>. (2020)</w:t>
      </w:r>
      <w:r w:rsidR="005E36AE" w:rsidRPr="002E7AE8">
        <w:rPr>
          <w:rFonts w:eastAsia="Arial Unicode MS"/>
          <w:szCs w:val="24"/>
          <w:bdr w:val="nil"/>
          <w:lang w:val="da-DK"/>
        </w:rPr>
        <w:t>,</w:t>
      </w:r>
      <w:r w:rsidRPr="008275EC">
        <w:rPr>
          <w:rFonts w:eastAsia="Arial Unicode MS"/>
          <w:szCs w:val="24"/>
          <w:bdr w:val="nil"/>
          <w:lang w:val="da-DK"/>
        </w:rPr>
        <w:t xml:space="preserve"> </w:t>
      </w:r>
      <w:r w:rsidRPr="008275EC">
        <w:rPr>
          <w:rFonts w:eastAsia="Arial Unicode MS"/>
          <w:szCs w:val="24"/>
          <w:bdr w:val="nil"/>
          <w:lang w:val="el-GR"/>
        </w:rPr>
        <w:t>και</w:t>
      </w:r>
      <w:r w:rsidRPr="008275EC">
        <w:rPr>
          <w:rFonts w:eastAsia="Arial Unicode MS"/>
          <w:szCs w:val="24"/>
          <w:bdr w:val="nil"/>
          <w:lang w:val="da-DK"/>
        </w:rPr>
        <w:t xml:space="preserve"> Rengaraju </w:t>
      </w:r>
      <w:r w:rsidRPr="008275EC">
        <w:rPr>
          <w:rFonts w:eastAsia="Arial Unicode MS"/>
          <w:i/>
          <w:iCs/>
          <w:szCs w:val="24"/>
          <w:bdr w:val="nil"/>
          <w:lang w:val="da-DK"/>
        </w:rPr>
        <w:t>et al.</w:t>
      </w:r>
      <w:r w:rsidRPr="008275EC">
        <w:rPr>
          <w:rFonts w:eastAsia="Arial Unicode MS"/>
          <w:szCs w:val="24"/>
          <w:bdr w:val="nil"/>
          <w:lang w:val="da-DK"/>
        </w:rPr>
        <w:t xml:space="preserve"> </w:t>
      </w:r>
      <w:r w:rsidRPr="008275EC">
        <w:rPr>
          <w:rFonts w:eastAsia="Arial Unicode MS"/>
          <w:szCs w:val="24"/>
          <w:bdr w:val="nil"/>
          <w:lang w:val="el-GR"/>
        </w:rPr>
        <w:t>(2020) θα ληφθούν -επίσης- υπόψη στην παρούσα πτυχιακή εργασία. Ουσιαστικά, οι εν λόγω ερευνητικές χρησιμοποίησαν δευτερογενή δεδομένα, αντλώντας τις απαραίτητες οικονομικές πληροφορίες από τις ετήσιες εκθέσεις και τις οικονομικές καταστάσεις των οργανισμών που εξετάστηκαν. Υπολόγισαν σημαντικούς χρηματοοικονομικού δείκτες, και ανέλυσαν τα δεδομένα χρησιμοποιώντας μοντέλα παλινδρόμησης.</w:t>
      </w:r>
    </w:p>
    <w:p w14:paraId="1ED29B9E" w14:textId="42BE85B4" w:rsidR="00B31132" w:rsidRPr="008275EC" w:rsidRDefault="00B31132" w:rsidP="005E36AE">
      <w:pPr>
        <w:pBdr>
          <w:top w:val="nil"/>
          <w:left w:val="nil"/>
          <w:bottom w:val="nil"/>
          <w:right w:val="nil"/>
          <w:between w:val="nil"/>
          <w:bar w:val="nil"/>
        </w:pBdr>
        <w:spacing w:before="200" w:after="200"/>
        <w:ind w:firstLine="709"/>
        <w:rPr>
          <w:rFonts w:eastAsia="Arial Unicode MS"/>
          <w:szCs w:val="24"/>
          <w:bdr w:val="nil"/>
          <w:lang w:val="el-GR"/>
        </w:rPr>
      </w:pPr>
      <w:r w:rsidRPr="008275EC">
        <w:rPr>
          <w:rFonts w:eastAsia="Arial Unicode MS"/>
          <w:szCs w:val="24"/>
          <w:bdr w:val="nil"/>
          <w:lang w:val="el-GR"/>
        </w:rPr>
        <w:t xml:space="preserve">Επιπλέον, ο </w:t>
      </w:r>
      <w:r w:rsidRPr="008275EC">
        <w:rPr>
          <w:rFonts w:eastAsia="Arial Unicode MS"/>
          <w:szCs w:val="24"/>
          <w:bdr w:val="nil"/>
        </w:rPr>
        <w:t>Saleh</w:t>
      </w:r>
      <w:r w:rsidRPr="008275EC">
        <w:rPr>
          <w:rFonts w:eastAsia="Arial Unicode MS"/>
          <w:szCs w:val="24"/>
          <w:bdr w:val="nil"/>
          <w:lang w:val="el-GR"/>
        </w:rPr>
        <w:t xml:space="preserve"> (2015) υπολόγισε τους χρηματοοικονομικούς δείκτες της αποδοτικότητας των στοιχείων του ενεργητικού και της αποδοτικότητας των στοιχείων των ιδίων κεφαλαίων. Ο</w:t>
      </w:r>
      <w:r w:rsidRPr="008275EC">
        <w:rPr>
          <w:rFonts w:eastAsia="Arial Unicode MS"/>
          <w:szCs w:val="24"/>
          <w:bdr w:val="nil"/>
          <w:lang w:val="da-DK"/>
        </w:rPr>
        <w:t xml:space="preserve"> Anwaar (2016)</w:t>
      </w:r>
      <w:bookmarkStart w:id="53" w:name="_Hlk82963331"/>
      <w:r w:rsidRPr="008275EC">
        <w:rPr>
          <w:rFonts w:eastAsia="Arial Unicode MS"/>
          <w:szCs w:val="24"/>
          <w:bdr w:val="nil"/>
          <w:lang w:val="da-DK"/>
        </w:rPr>
        <w:t xml:space="preserve">, </w:t>
      </w:r>
      <w:r w:rsidRPr="008275EC">
        <w:rPr>
          <w:rFonts w:eastAsia="Arial Unicode MS"/>
          <w:szCs w:val="24"/>
          <w:bdr w:val="nil"/>
          <w:lang w:val="el-GR"/>
        </w:rPr>
        <w:t>οι</w:t>
      </w:r>
      <w:r w:rsidRPr="008275EC">
        <w:rPr>
          <w:rFonts w:eastAsia="Arial Unicode MS"/>
          <w:szCs w:val="24"/>
          <w:bdr w:val="nil"/>
          <w:lang w:val="da-DK"/>
        </w:rPr>
        <w:t xml:space="preserve"> Idowu </w:t>
      </w:r>
      <w:r w:rsidRPr="008275EC">
        <w:rPr>
          <w:rFonts w:eastAsia="Arial Unicode MS"/>
          <w:i/>
          <w:iCs/>
          <w:szCs w:val="24"/>
          <w:bdr w:val="nil"/>
          <w:lang w:val="da-DK"/>
        </w:rPr>
        <w:t>et al</w:t>
      </w:r>
      <w:r w:rsidRPr="008275EC">
        <w:rPr>
          <w:rFonts w:eastAsia="Arial Unicode MS"/>
          <w:szCs w:val="24"/>
          <w:bdr w:val="nil"/>
          <w:lang w:val="da-DK"/>
        </w:rPr>
        <w:t>. (2018)</w:t>
      </w:r>
      <w:r w:rsidR="005E36AE" w:rsidRPr="002E7AE8">
        <w:rPr>
          <w:rFonts w:eastAsia="Arial Unicode MS"/>
          <w:szCs w:val="24"/>
          <w:bdr w:val="nil"/>
          <w:lang w:val="da-DK"/>
        </w:rPr>
        <w:t>,</w:t>
      </w:r>
      <w:r w:rsidRPr="008275EC">
        <w:rPr>
          <w:rFonts w:eastAsia="Arial Unicode MS"/>
          <w:szCs w:val="24"/>
          <w:bdr w:val="nil"/>
          <w:lang w:val="da-DK"/>
        </w:rPr>
        <w:t xml:space="preserve"> </w:t>
      </w:r>
      <w:r w:rsidRPr="008275EC">
        <w:rPr>
          <w:rFonts w:eastAsia="Arial Unicode MS"/>
          <w:szCs w:val="24"/>
          <w:bdr w:val="nil"/>
          <w:lang w:val="el-GR"/>
        </w:rPr>
        <w:t>και</w:t>
      </w:r>
      <w:r w:rsidRPr="008275EC">
        <w:rPr>
          <w:rFonts w:eastAsia="Arial Unicode MS"/>
          <w:szCs w:val="24"/>
          <w:bdr w:val="nil"/>
          <w:lang w:val="da-DK"/>
        </w:rPr>
        <w:t xml:space="preserve"> </w:t>
      </w:r>
      <w:r w:rsidRPr="008275EC">
        <w:rPr>
          <w:rFonts w:eastAsia="Arial Unicode MS"/>
          <w:szCs w:val="24"/>
          <w:bdr w:val="nil"/>
          <w:lang w:val="el-GR"/>
        </w:rPr>
        <w:t>οι</w:t>
      </w:r>
      <w:r w:rsidRPr="008275EC">
        <w:rPr>
          <w:rFonts w:eastAsia="Arial Unicode MS"/>
          <w:szCs w:val="24"/>
          <w:bdr w:val="nil"/>
          <w:lang w:val="da-DK"/>
        </w:rPr>
        <w:t xml:space="preserve"> Hove </w:t>
      </w:r>
      <w:r w:rsidRPr="008275EC">
        <w:rPr>
          <w:rFonts w:eastAsia="Arial Unicode MS"/>
          <w:i/>
          <w:iCs/>
          <w:szCs w:val="24"/>
          <w:bdr w:val="nil"/>
          <w:lang w:val="nl-NL"/>
        </w:rPr>
        <w:t>et al</w:t>
      </w:r>
      <w:r w:rsidRPr="008275EC">
        <w:rPr>
          <w:rFonts w:eastAsia="Arial Unicode MS"/>
          <w:szCs w:val="24"/>
          <w:bdr w:val="nil"/>
          <w:lang w:val="da-DK"/>
        </w:rPr>
        <w:t xml:space="preserve">. </w:t>
      </w:r>
      <w:r w:rsidRPr="008275EC">
        <w:rPr>
          <w:rFonts w:eastAsia="Arial Unicode MS"/>
          <w:szCs w:val="24"/>
          <w:bdr w:val="nil"/>
          <w:lang w:val="el-GR"/>
        </w:rPr>
        <w:t>(2020)</w:t>
      </w:r>
      <w:bookmarkEnd w:id="53"/>
      <w:r w:rsidRPr="008275EC">
        <w:rPr>
          <w:rFonts w:eastAsia="Arial Unicode MS"/>
          <w:szCs w:val="24"/>
          <w:bdr w:val="nil"/>
          <w:lang w:val="el-GR"/>
        </w:rPr>
        <w:t xml:space="preserve"> για τους σκοπούς των αναλύσεων τους υπολόγισαν τους χρηματοοικονομικούς δείκτες των κερδών ανά μετοχή, της αποδοτικότητας των στοιχείων του ενεργητικού και της αποδοτικότητας των στοιχείων των ιδίων κεφαλαίων. Οι </w:t>
      </w:r>
      <w:r w:rsidRPr="008275EC">
        <w:rPr>
          <w:rFonts w:eastAsia="Arial Unicode MS"/>
          <w:szCs w:val="24"/>
          <w:bdr w:val="nil"/>
        </w:rPr>
        <w:t>Razak</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i/>
          <w:iCs/>
          <w:szCs w:val="24"/>
          <w:bdr w:val="nil"/>
          <w:lang w:val="el-GR"/>
        </w:rPr>
        <w:t>.</w:t>
      </w:r>
      <w:r w:rsidRPr="008275EC">
        <w:rPr>
          <w:rFonts w:eastAsia="Arial Unicode MS"/>
          <w:szCs w:val="24"/>
          <w:bdr w:val="nil"/>
          <w:lang w:val="el-GR"/>
        </w:rPr>
        <w:t xml:space="preserve"> (2020) υπολόγισαν τον χρηματοοικονομικό δείκτη της αποδοτικότητας των στοιχείων του ενεργητικού. Και τέλος, οι </w:t>
      </w:r>
      <w:r w:rsidRPr="008275EC">
        <w:rPr>
          <w:rFonts w:eastAsia="Arial Unicode MS"/>
          <w:szCs w:val="24"/>
          <w:bdr w:val="nil"/>
        </w:rPr>
        <w:t>Rengaraju</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i/>
          <w:iCs/>
          <w:szCs w:val="24"/>
          <w:bdr w:val="nil"/>
          <w:lang w:val="el-GR"/>
        </w:rPr>
        <w:t>.</w:t>
      </w:r>
      <w:r w:rsidRPr="008275EC">
        <w:rPr>
          <w:rFonts w:eastAsia="Arial Unicode MS"/>
          <w:szCs w:val="24"/>
          <w:bdr w:val="nil"/>
          <w:lang w:val="el-GR"/>
        </w:rPr>
        <w:t xml:space="preserve"> (2020) υπολόγισαν δείκτες κερδοφορίας στην έρευνα τους.</w:t>
      </w:r>
    </w:p>
    <w:p w14:paraId="10A8D20B" w14:textId="77777777" w:rsidR="00B31132" w:rsidRPr="008275EC" w:rsidRDefault="00B31132" w:rsidP="00B31132">
      <w:pPr>
        <w:pBdr>
          <w:top w:val="nil"/>
          <w:left w:val="nil"/>
          <w:bottom w:val="nil"/>
          <w:right w:val="nil"/>
          <w:between w:val="nil"/>
          <w:bar w:val="nil"/>
        </w:pBdr>
        <w:spacing w:before="200" w:after="200"/>
        <w:ind w:right="278" w:firstLine="0"/>
        <w:rPr>
          <w:rFonts w:eastAsia="Calibri"/>
          <w:color w:val="000000"/>
          <w:szCs w:val="24"/>
          <w:bdr w:val="nil"/>
          <w:lang w:val="el-GR"/>
          <w14:textOutline w14:w="0" w14:cap="flat" w14:cmpd="sng" w14:algn="ctr">
            <w14:noFill/>
            <w14:prstDash w14:val="solid"/>
            <w14:bevel/>
          </w14:textOutline>
        </w:rPr>
      </w:pPr>
    </w:p>
    <w:p w14:paraId="0EAE0053" w14:textId="77777777" w:rsidR="00B31132" w:rsidRPr="008275EC" w:rsidRDefault="00B31132" w:rsidP="008275EC">
      <w:pPr>
        <w:spacing w:before="200" w:after="200"/>
        <w:ind w:firstLine="0"/>
        <w:rPr>
          <w:rFonts w:eastAsia="Calibri"/>
          <w:szCs w:val="24"/>
          <w:lang w:val="el-GR"/>
        </w:rPr>
      </w:pPr>
    </w:p>
    <w:p w14:paraId="4227596C" w14:textId="77777777" w:rsidR="008275EC" w:rsidRPr="008275EC" w:rsidRDefault="008275EC" w:rsidP="008275EC">
      <w:pPr>
        <w:pBdr>
          <w:top w:val="nil"/>
          <w:left w:val="nil"/>
          <w:bottom w:val="nil"/>
          <w:right w:val="nil"/>
          <w:between w:val="nil"/>
          <w:bar w:val="nil"/>
        </w:pBdr>
        <w:spacing w:line="240" w:lineRule="auto"/>
        <w:ind w:firstLine="0"/>
        <w:jc w:val="left"/>
        <w:rPr>
          <w:rFonts w:eastAsia="Calibri"/>
          <w:szCs w:val="24"/>
          <w:lang w:val="el-GR"/>
        </w:rPr>
      </w:pPr>
      <w:r w:rsidRPr="008275EC">
        <w:rPr>
          <w:rFonts w:eastAsia="Calibri"/>
          <w:szCs w:val="24"/>
          <w:lang w:val="el-GR"/>
        </w:rPr>
        <w:br w:type="page"/>
      </w:r>
    </w:p>
    <w:p w14:paraId="7A9E492A" w14:textId="5B01E436" w:rsidR="008275EC" w:rsidRPr="008275EC" w:rsidRDefault="006C3BEF" w:rsidP="005E36AE">
      <w:pPr>
        <w:spacing w:before="200" w:after="200"/>
        <w:ind w:firstLine="0"/>
        <w:jc w:val="center"/>
        <w:rPr>
          <w:rFonts w:eastAsia="Calibri"/>
          <w:b/>
          <w:bCs/>
          <w:szCs w:val="24"/>
          <w:lang w:val="el-GR"/>
        </w:rPr>
      </w:pPr>
      <w:r>
        <w:rPr>
          <w:rFonts w:eastAsia="Calibri"/>
          <w:b/>
          <w:bCs/>
          <w:sz w:val="28"/>
          <w:szCs w:val="28"/>
          <w:lang w:val="el-GR"/>
        </w:rPr>
        <w:lastRenderedPageBreak/>
        <w:t xml:space="preserve">ΚΕΦΑΛΑΙΟ </w:t>
      </w:r>
      <w:r>
        <w:rPr>
          <w:rFonts w:eastAsia="Calibri"/>
          <w:b/>
          <w:bCs/>
          <w:sz w:val="28"/>
          <w:szCs w:val="28"/>
        </w:rPr>
        <w:t>IV</w:t>
      </w:r>
      <w:r w:rsidRPr="002E7AE8">
        <w:rPr>
          <w:rFonts w:eastAsia="Calibri"/>
          <w:b/>
          <w:bCs/>
          <w:sz w:val="28"/>
          <w:szCs w:val="28"/>
          <w:lang w:val="el-GR"/>
        </w:rPr>
        <w:t xml:space="preserve"> -</w:t>
      </w:r>
      <w:r w:rsidR="008275EC" w:rsidRPr="008275EC">
        <w:rPr>
          <w:rFonts w:eastAsia="Calibri"/>
          <w:b/>
          <w:bCs/>
          <w:sz w:val="28"/>
          <w:szCs w:val="28"/>
          <w:lang w:val="el-GR"/>
        </w:rPr>
        <w:t xml:space="preserve"> ΑΠΟΤΕΛΕΣΜΑΤΑ</w:t>
      </w:r>
    </w:p>
    <w:p w14:paraId="34291454" w14:textId="77777777" w:rsidR="005E36AE" w:rsidRDefault="008275EC" w:rsidP="005E36AE">
      <w:pPr>
        <w:spacing w:before="200" w:after="200"/>
        <w:ind w:firstLine="709"/>
        <w:rPr>
          <w:rFonts w:eastAsia="Calibri"/>
          <w:szCs w:val="24"/>
          <w:lang w:val="el-GR"/>
        </w:rPr>
      </w:pPr>
      <w:r w:rsidRPr="008275EC">
        <w:rPr>
          <w:rFonts w:eastAsia="Calibri"/>
          <w:szCs w:val="24"/>
          <w:lang w:val="el-GR"/>
        </w:rPr>
        <w:t>Στον εν λόγω κεφάλαιο θα παρουσιαστούν τα αποτελέσματα της έρευνας που διεξάχθηκε.</w:t>
      </w:r>
    </w:p>
    <w:p w14:paraId="6810095F" w14:textId="4E97E495" w:rsidR="008275EC" w:rsidRPr="008275EC" w:rsidRDefault="008275EC" w:rsidP="005E36AE">
      <w:pPr>
        <w:spacing w:before="200" w:after="200"/>
        <w:ind w:firstLine="709"/>
        <w:rPr>
          <w:rFonts w:eastAsia="Calibri"/>
          <w:szCs w:val="24"/>
          <w:lang w:val="el-GR"/>
        </w:rPr>
      </w:pPr>
      <w:r w:rsidRPr="008275EC">
        <w:rPr>
          <w:rFonts w:eastAsia="Calibri"/>
          <w:szCs w:val="24"/>
          <w:lang w:val="el-GR"/>
        </w:rPr>
        <w:t>Ωστόσο, πριν από την παρουσίαση των αποτελεσμάτων των γραμμικών παλινδρομήσεων, θα παρουσιάσουμε, σε μια σύντομη ανάλυση, τις επιδόσεις των τεσσάρων συστημικών χρηματοπιστωτικών οργανισμών, κατά την εξεταζόμενη περίοδο, δηλαδή από το 2005 έως και το 2020.</w:t>
      </w:r>
    </w:p>
    <w:p w14:paraId="4A446145" w14:textId="77777777" w:rsidR="008275EC" w:rsidRPr="008275EC" w:rsidRDefault="008275EC" w:rsidP="008275EC">
      <w:pPr>
        <w:spacing w:before="200" w:after="200"/>
        <w:ind w:firstLine="0"/>
        <w:rPr>
          <w:rFonts w:eastAsia="Calibri"/>
          <w:szCs w:val="24"/>
          <w:lang w:val="el-GR"/>
        </w:rPr>
      </w:pPr>
    </w:p>
    <w:p w14:paraId="3C547327" w14:textId="69E687CE" w:rsidR="008275EC" w:rsidRPr="008275EC" w:rsidRDefault="005E36AE" w:rsidP="005E36AE">
      <w:pPr>
        <w:spacing w:before="200" w:after="200"/>
        <w:ind w:firstLine="0"/>
        <w:jc w:val="center"/>
        <w:rPr>
          <w:rFonts w:eastAsia="Calibri"/>
          <w:b/>
          <w:bCs/>
          <w:szCs w:val="24"/>
          <w:lang w:val="el-GR"/>
        </w:rPr>
      </w:pPr>
      <w:bookmarkStart w:id="54" w:name="_Hlk84675533"/>
      <w:r w:rsidRPr="005E36AE">
        <w:rPr>
          <w:rFonts w:eastAsia="Calibri"/>
          <w:b/>
          <w:bCs/>
          <w:szCs w:val="24"/>
          <w:lang w:val="el-GR"/>
        </w:rPr>
        <w:t>4</w:t>
      </w:r>
      <w:r w:rsidR="008275EC" w:rsidRPr="008275EC">
        <w:rPr>
          <w:rFonts w:eastAsia="Calibri"/>
          <w:b/>
          <w:bCs/>
          <w:szCs w:val="24"/>
          <w:lang w:val="el-GR"/>
        </w:rPr>
        <w:t>.1. ΕΠΙΔΟΣΕΙΣ ΧΡΗΜΑΤΟΠΙΣΤΩΤΙΚΩΝ ΟΡΓΑΝΙΣΜΩΝ</w:t>
      </w:r>
    </w:p>
    <w:bookmarkEnd w:id="54"/>
    <w:p w14:paraId="0ED265E7" w14:textId="0887CF93" w:rsidR="008275EC" w:rsidRPr="008275EC" w:rsidRDefault="005E36AE" w:rsidP="005E36AE">
      <w:pPr>
        <w:spacing w:before="200" w:after="200"/>
        <w:ind w:firstLine="0"/>
        <w:jc w:val="center"/>
        <w:rPr>
          <w:rFonts w:eastAsia="Calibri"/>
          <w:szCs w:val="24"/>
          <w:lang w:val="el-GR"/>
        </w:rPr>
      </w:pPr>
      <w:r w:rsidRPr="005E36AE">
        <w:rPr>
          <w:rFonts w:eastAsia="Calibri"/>
          <w:szCs w:val="24"/>
          <w:lang w:val="el-GR"/>
        </w:rPr>
        <w:t>4</w:t>
      </w:r>
      <w:r w:rsidR="008275EC" w:rsidRPr="008275EC">
        <w:rPr>
          <w:rFonts w:eastAsia="Calibri"/>
          <w:szCs w:val="24"/>
          <w:lang w:val="el-GR"/>
        </w:rPr>
        <w:t>.1.1. ΕΘΝΙΚΗ ΤΡΑΠΕΖΑ ΤΗΣ ΕΛΛΑΔΟΣ</w:t>
      </w:r>
    </w:p>
    <w:p w14:paraId="378F4E22" w14:textId="77777777" w:rsidR="005E36AE" w:rsidRDefault="008275EC" w:rsidP="005E36AE">
      <w:pPr>
        <w:spacing w:before="200" w:after="200"/>
        <w:ind w:firstLine="709"/>
        <w:rPr>
          <w:rFonts w:eastAsia="Calibri"/>
          <w:szCs w:val="24"/>
          <w:lang w:val="el-GR"/>
        </w:rPr>
      </w:pPr>
      <w:r w:rsidRPr="008275EC">
        <w:rPr>
          <w:rFonts w:eastAsia="Calibri"/>
          <w:szCs w:val="24"/>
          <w:lang w:val="el-GR"/>
        </w:rPr>
        <w:t xml:space="preserve">Όσον αφορά την Εθνική Τράπεζα της Ελλάδος, κατά την εξεταζόμενη περίοδο (2005 – 2020) έχει μεταβολές στα κέρδη της. Το 2020, τα κέρδη ανήλθαν σε 40.000.000 € (αυξημένα κατά περίπου 115%, σε σχέση με την προηγούμενη χρονιά, το 2019, η τράπεζα εμφάνισε ζημιά ύψους 237.000.000 €). Πριν από την εμφάνιση της οικονομικής κρίσης, η Εθνική Τράπεζα εμφάνιζε κέρδη. Συγκεκριμένα, το 2005 εμφάνισε 721.932.000 € κέρδη. Το ποσό αυτό συνέχισε να αυξάνεται έως το 2007, αγγίζοντας τα 1.644.121.000 €. Στη συνέχεια, επηρεασμένη από την οικονομική κρίση που εμφανίστηκε στις ΗΠΑ, η τράπεζα παρουσίασε μείωση των κερδών της, φθάνοντας τα 440.424.000 €, το 2010. </w:t>
      </w:r>
    </w:p>
    <w:p w14:paraId="7D11120D" w14:textId="74C4486B" w:rsidR="008275EC" w:rsidRDefault="008275EC" w:rsidP="005E36AE">
      <w:pPr>
        <w:spacing w:before="200" w:after="200"/>
        <w:ind w:firstLine="709"/>
        <w:rPr>
          <w:rFonts w:eastAsia="Calibri"/>
          <w:szCs w:val="24"/>
          <w:lang w:val="el-GR"/>
        </w:rPr>
      </w:pPr>
      <w:r w:rsidRPr="008275EC">
        <w:rPr>
          <w:rFonts w:eastAsia="Calibri"/>
          <w:szCs w:val="24"/>
          <w:lang w:val="el-GR"/>
        </w:rPr>
        <w:t xml:space="preserve">Όμως, με την εμφάνιση της κρίσης στην Ευρωπαϊκή ήπειρο και την Ελλάδα, και την ένταξη της χώρας στη χρηματοδότηση από το Διεθνές Νομισματικό Ταμείο (ΔΝΤ), Η Εθνική Τράπεζα παρουσίασε τεράστιες απώλειες. Το 2011, οι ζημιές της τράπεζας ανήλθαν στα 12.234.884.000 </w:t>
      </w:r>
      <w:bookmarkStart w:id="55" w:name="_Hlk84682297"/>
      <w:r w:rsidRPr="008275EC">
        <w:rPr>
          <w:rFonts w:eastAsia="Calibri"/>
          <w:szCs w:val="24"/>
          <w:lang w:val="el-GR"/>
        </w:rPr>
        <w:t>€</w:t>
      </w:r>
      <w:bookmarkEnd w:id="55"/>
      <w:r w:rsidRPr="008275EC">
        <w:rPr>
          <w:rFonts w:eastAsia="Calibri"/>
          <w:szCs w:val="24"/>
          <w:lang w:val="el-GR"/>
        </w:rPr>
        <w:t xml:space="preserve"> (μείωση κατά περίπου 2.900%, σε σύγκριση με την κερδοφόρα χρονιά του 2010). Ο οργανισμός εμφάνισε εκ νέου κερδοφορία το 2013, για να εμφανίσει εκ νέου ζημιές το 2015 (4.198.000.000 €), τη χρονιά επιβολής των κεφαλαιακών ελέγχων (</w:t>
      </w:r>
      <w:r w:rsidRPr="008275EC">
        <w:rPr>
          <w:rFonts w:eastAsia="Calibri"/>
          <w:szCs w:val="24"/>
        </w:rPr>
        <w:t>capital</w:t>
      </w:r>
      <w:r w:rsidRPr="008275EC">
        <w:rPr>
          <w:rFonts w:eastAsia="Calibri"/>
          <w:szCs w:val="24"/>
          <w:lang w:val="el-GR"/>
        </w:rPr>
        <w:t xml:space="preserve"> </w:t>
      </w:r>
      <w:r w:rsidRPr="008275EC">
        <w:rPr>
          <w:rFonts w:eastAsia="Calibri"/>
          <w:szCs w:val="24"/>
        </w:rPr>
        <w:t>controls</w:t>
      </w:r>
      <w:r w:rsidRPr="008275EC">
        <w:rPr>
          <w:rFonts w:eastAsia="Calibri"/>
          <w:szCs w:val="24"/>
          <w:lang w:val="el-GR"/>
        </w:rPr>
        <w:t>). Το 2015, η ποσοστιαία μείωση των κερδών ήταν περίπου 4.000%, ακόμη μεγαλύτερη και από το 2011. Έκτοτε, η πρώτη χρονιά που εμφάνισε ξανά κέρδη ήταν το 2020.</w:t>
      </w:r>
    </w:p>
    <w:p w14:paraId="12EE792E" w14:textId="7CBB4BDA" w:rsidR="008275EC" w:rsidRPr="008275EC" w:rsidRDefault="005E36AE" w:rsidP="0056487C">
      <w:pPr>
        <w:spacing w:before="200" w:after="200"/>
        <w:ind w:firstLine="0"/>
        <w:rPr>
          <w:rFonts w:eastAsia="Calibri"/>
          <w:szCs w:val="24"/>
          <w:lang w:val="el-GR"/>
        </w:rPr>
      </w:pPr>
      <w:bookmarkStart w:id="56" w:name="_Hlk84682619"/>
      <w:r w:rsidRPr="008275EC">
        <w:rPr>
          <w:rFonts w:eastAsia="Calibri"/>
          <w:noProof/>
          <w:szCs w:val="24"/>
          <w:lang w:val="el-GR" w:eastAsia="el-GR"/>
        </w:rPr>
        <w:lastRenderedPageBreak/>
        <w:drawing>
          <wp:anchor distT="0" distB="0" distL="114300" distR="114300" simplePos="0" relativeHeight="251659264" behindDoc="0" locked="0" layoutInCell="1" allowOverlap="1" wp14:anchorId="4518BCB3" wp14:editId="0A22D14E">
            <wp:simplePos x="0" y="0"/>
            <wp:positionH relativeFrom="margin">
              <wp:posOffset>-618180</wp:posOffset>
            </wp:positionH>
            <wp:positionV relativeFrom="paragraph">
              <wp:posOffset>591</wp:posOffset>
            </wp:positionV>
            <wp:extent cx="6886575" cy="2524760"/>
            <wp:effectExtent l="0" t="0" r="9525" b="889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886575" cy="2524760"/>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bookmarkStart w:id="57" w:name="_Hlk84841840"/>
      <w:bookmarkEnd w:id="56"/>
      <w:r w:rsidR="0056487C">
        <w:rPr>
          <w:rFonts w:eastAsia="Calibri"/>
          <w:b/>
          <w:bCs/>
          <w:szCs w:val="24"/>
          <w:lang w:val="el-GR"/>
        </w:rPr>
        <w:t>Σχήμα</w:t>
      </w:r>
      <w:r w:rsidRPr="008275EC">
        <w:rPr>
          <w:rFonts w:eastAsia="Calibri"/>
          <w:b/>
          <w:bCs/>
          <w:szCs w:val="24"/>
          <w:lang w:val="el-GR"/>
        </w:rPr>
        <w:t xml:space="preserve"> </w:t>
      </w:r>
      <w:r w:rsidR="0056487C" w:rsidRPr="008275EC">
        <w:rPr>
          <w:rFonts w:eastAsia="Calibri"/>
          <w:b/>
          <w:bCs/>
          <w:szCs w:val="24"/>
          <w:lang w:val="el-GR"/>
        </w:rPr>
        <w:t>1</w:t>
      </w:r>
      <w:r w:rsidR="0056487C" w:rsidRPr="0056487C">
        <w:rPr>
          <w:rFonts w:eastAsia="Calibri"/>
          <w:b/>
          <w:bCs/>
          <w:szCs w:val="24"/>
          <w:lang w:val="el-GR"/>
        </w:rPr>
        <w:t>α</w:t>
      </w:r>
      <w:r w:rsidR="0056487C">
        <w:rPr>
          <w:rFonts w:eastAsia="Calibri"/>
          <w:b/>
          <w:bCs/>
          <w:szCs w:val="24"/>
          <w:lang w:val="el-GR"/>
        </w:rPr>
        <w:t>.</w:t>
      </w:r>
      <w:r w:rsidR="0056487C" w:rsidRPr="008275EC">
        <w:rPr>
          <w:rFonts w:eastAsia="Calibri"/>
          <w:b/>
          <w:bCs/>
          <w:szCs w:val="24"/>
          <w:lang w:val="el-GR"/>
        </w:rPr>
        <w:t xml:space="preserve"> </w:t>
      </w:r>
      <w:r w:rsidR="0056487C" w:rsidRPr="008275EC">
        <w:rPr>
          <w:rFonts w:eastAsia="Calibri"/>
          <w:szCs w:val="24"/>
          <w:lang w:val="el-GR"/>
        </w:rPr>
        <w:t>Καθαρ</w:t>
      </w:r>
      <w:r w:rsidR="0056487C">
        <w:rPr>
          <w:rFonts w:eastAsia="Calibri"/>
          <w:szCs w:val="24"/>
          <w:lang w:val="el-GR"/>
        </w:rPr>
        <w:t>ά</w:t>
      </w:r>
      <w:r w:rsidR="0056487C" w:rsidRPr="008275EC">
        <w:rPr>
          <w:rFonts w:eastAsia="Calibri"/>
          <w:szCs w:val="24"/>
          <w:lang w:val="el-GR"/>
        </w:rPr>
        <w:t xml:space="preserve"> Κ</w:t>
      </w:r>
      <w:r w:rsidR="0056487C">
        <w:rPr>
          <w:rFonts w:eastAsia="Calibri"/>
          <w:szCs w:val="24"/>
          <w:lang w:val="el-GR"/>
        </w:rPr>
        <w:t>έ</w:t>
      </w:r>
      <w:r w:rsidR="0056487C" w:rsidRPr="008275EC">
        <w:rPr>
          <w:rFonts w:eastAsia="Calibri"/>
          <w:szCs w:val="24"/>
          <w:lang w:val="el-GR"/>
        </w:rPr>
        <w:t>ρδη</w:t>
      </w:r>
      <w:r w:rsidR="0056487C" w:rsidRPr="0056487C">
        <w:rPr>
          <w:rFonts w:eastAsia="Calibri"/>
          <w:szCs w:val="24"/>
          <w:lang w:val="el-GR"/>
        </w:rPr>
        <w:t xml:space="preserve">/ </w:t>
      </w:r>
      <w:r w:rsidR="0056487C" w:rsidRPr="008275EC">
        <w:rPr>
          <w:rFonts w:eastAsia="Calibri"/>
          <w:szCs w:val="24"/>
          <w:lang w:val="el-GR"/>
        </w:rPr>
        <w:t>Ζημι</w:t>
      </w:r>
      <w:r w:rsidR="0056487C">
        <w:rPr>
          <w:rFonts w:eastAsia="Calibri"/>
          <w:szCs w:val="24"/>
          <w:lang w:val="el-GR"/>
        </w:rPr>
        <w:t>έ</w:t>
      </w:r>
      <w:r w:rsidR="0056487C" w:rsidRPr="008275EC">
        <w:rPr>
          <w:rFonts w:eastAsia="Calibri"/>
          <w:szCs w:val="24"/>
          <w:lang w:val="el-GR"/>
        </w:rPr>
        <w:t xml:space="preserve">ς </w:t>
      </w:r>
      <w:r w:rsidR="0056487C" w:rsidRPr="0056487C">
        <w:rPr>
          <w:rFonts w:eastAsia="Calibri"/>
          <w:szCs w:val="24"/>
          <w:lang w:val="el-GR"/>
        </w:rPr>
        <w:t xml:space="preserve">– </w:t>
      </w:r>
      <w:r w:rsidR="0056487C" w:rsidRPr="008275EC">
        <w:rPr>
          <w:rFonts w:eastAsia="Calibri"/>
          <w:szCs w:val="24"/>
          <w:lang w:val="el-GR"/>
        </w:rPr>
        <w:t>Εθνικ</w:t>
      </w:r>
      <w:r w:rsidR="0056487C">
        <w:rPr>
          <w:rFonts w:eastAsia="Calibri"/>
          <w:szCs w:val="24"/>
          <w:lang w:val="el-GR"/>
        </w:rPr>
        <w:t>ή</w:t>
      </w:r>
      <w:r w:rsidR="0056487C" w:rsidRPr="008275EC">
        <w:rPr>
          <w:rFonts w:eastAsia="Calibri"/>
          <w:szCs w:val="24"/>
          <w:lang w:val="el-GR"/>
        </w:rPr>
        <w:t xml:space="preserve"> Τρ</w:t>
      </w:r>
      <w:r w:rsidR="0056487C">
        <w:rPr>
          <w:rFonts w:eastAsia="Calibri"/>
          <w:szCs w:val="24"/>
          <w:lang w:val="el-GR"/>
        </w:rPr>
        <w:t>ά</w:t>
      </w:r>
      <w:r w:rsidR="0056487C" w:rsidRPr="008275EC">
        <w:rPr>
          <w:rFonts w:eastAsia="Calibri"/>
          <w:szCs w:val="24"/>
          <w:lang w:val="el-GR"/>
        </w:rPr>
        <w:t xml:space="preserve">πεζα </w:t>
      </w:r>
      <w:r w:rsidR="0056487C">
        <w:rPr>
          <w:rFonts w:eastAsia="Calibri"/>
          <w:szCs w:val="24"/>
          <w:lang w:val="el-GR"/>
        </w:rPr>
        <w:t>τ</w:t>
      </w:r>
      <w:r w:rsidR="0056487C" w:rsidRPr="008275EC">
        <w:rPr>
          <w:rFonts w:eastAsia="Calibri"/>
          <w:szCs w:val="24"/>
          <w:lang w:val="el-GR"/>
        </w:rPr>
        <w:t>ης Ελλ</w:t>
      </w:r>
      <w:r w:rsidR="0056487C">
        <w:rPr>
          <w:rFonts w:eastAsia="Calibri"/>
          <w:szCs w:val="24"/>
          <w:lang w:val="el-GR"/>
        </w:rPr>
        <w:t>ά</w:t>
      </w:r>
      <w:r w:rsidR="0056487C" w:rsidRPr="008275EC">
        <w:rPr>
          <w:rFonts w:eastAsia="Calibri"/>
          <w:szCs w:val="24"/>
          <w:lang w:val="el-GR"/>
        </w:rPr>
        <w:t>δος</w:t>
      </w:r>
      <w:r w:rsidRPr="008275EC">
        <w:rPr>
          <w:rFonts w:eastAsia="Calibri"/>
          <w:sz w:val="16"/>
          <w:szCs w:val="16"/>
          <w:vertAlign w:val="superscript"/>
          <w:lang w:val="el-GR"/>
        </w:rPr>
        <w:footnoteReference w:id="7"/>
      </w:r>
      <w:r w:rsidR="0056487C">
        <w:rPr>
          <w:rFonts w:eastAsia="Calibri"/>
          <w:szCs w:val="24"/>
          <w:lang w:val="el-GR"/>
        </w:rPr>
        <w:t xml:space="preserve"> </w:t>
      </w:r>
      <w:r w:rsidR="0056487C" w:rsidRPr="0056487C">
        <w:rPr>
          <w:rFonts w:eastAsia="Calibri"/>
          <w:szCs w:val="24"/>
          <w:lang w:val="el-GR"/>
        </w:rPr>
        <w:t>(</w:t>
      </w:r>
      <w:r w:rsidR="008275EC" w:rsidRPr="008275EC">
        <w:rPr>
          <w:rFonts w:eastAsia="Calibri"/>
          <w:szCs w:val="24"/>
          <w:lang w:val="el-GR"/>
        </w:rPr>
        <w:t xml:space="preserve">Πηγή: Το διάγραμμα δημιουργήθηκε στο </w:t>
      </w:r>
      <w:r w:rsidR="008275EC" w:rsidRPr="008275EC">
        <w:rPr>
          <w:rFonts w:eastAsia="Calibri"/>
          <w:szCs w:val="24"/>
          <w:lang w:val="en-GB"/>
        </w:rPr>
        <w:t>Microsoft</w:t>
      </w:r>
      <w:r w:rsidR="008275EC" w:rsidRPr="008275EC">
        <w:rPr>
          <w:rFonts w:eastAsia="Calibri"/>
          <w:szCs w:val="24"/>
          <w:lang w:val="el-GR"/>
        </w:rPr>
        <w:t xml:space="preserve"> </w:t>
      </w:r>
      <w:r w:rsidR="008275EC" w:rsidRPr="008275EC">
        <w:rPr>
          <w:rFonts w:eastAsia="Calibri"/>
          <w:szCs w:val="24"/>
          <w:lang w:val="en-GB"/>
        </w:rPr>
        <w:t>Office</w:t>
      </w:r>
      <w:r w:rsidR="008275EC" w:rsidRPr="008275EC">
        <w:rPr>
          <w:rFonts w:eastAsia="Calibri"/>
          <w:szCs w:val="24"/>
          <w:lang w:val="el-GR"/>
        </w:rPr>
        <w:t xml:space="preserve"> </w:t>
      </w:r>
      <w:r w:rsidR="008275EC" w:rsidRPr="008275EC">
        <w:rPr>
          <w:rFonts w:eastAsia="Calibri"/>
          <w:szCs w:val="24"/>
          <w:lang w:val="en-GB"/>
        </w:rPr>
        <w:t>excel</w:t>
      </w:r>
      <w:r w:rsidR="008275EC" w:rsidRPr="008275EC">
        <w:rPr>
          <w:rFonts w:eastAsia="Calibri"/>
          <w:szCs w:val="24"/>
          <w:lang w:val="el-GR"/>
        </w:rPr>
        <w:t xml:space="preserve"> από τον συγγραφέα</w:t>
      </w:r>
      <w:r w:rsidR="0056487C" w:rsidRPr="0056487C">
        <w:rPr>
          <w:rFonts w:eastAsia="Calibri"/>
          <w:szCs w:val="24"/>
          <w:lang w:val="el-GR"/>
        </w:rPr>
        <w:t>).</w:t>
      </w:r>
    </w:p>
    <w:bookmarkEnd w:id="57"/>
    <w:p w14:paraId="5D0712C2" w14:textId="77777777" w:rsidR="00954066" w:rsidRDefault="00954066" w:rsidP="008275EC">
      <w:pPr>
        <w:pBdr>
          <w:top w:val="nil"/>
          <w:left w:val="nil"/>
          <w:bottom w:val="nil"/>
          <w:right w:val="nil"/>
          <w:between w:val="nil"/>
          <w:bar w:val="nil"/>
        </w:pBdr>
        <w:spacing w:before="200" w:after="200"/>
        <w:ind w:firstLine="0"/>
        <w:rPr>
          <w:rFonts w:eastAsia="Calibri"/>
          <w:szCs w:val="24"/>
          <w:lang w:val="el-GR"/>
        </w:rPr>
      </w:pPr>
    </w:p>
    <w:p w14:paraId="61ABA84F" w14:textId="45A81A55" w:rsidR="008275EC" w:rsidRPr="008275EC" w:rsidRDefault="00954066" w:rsidP="008275EC">
      <w:pPr>
        <w:pBdr>
          <w:top w:val="nil"/>
          <w:left w:val="nil"/>
          <w:bottom w:val="nil"/>
          <w:right w:val="nil"/>
          <w:between w:val="nil"/>
          <w:bar w:val="nil"/>
        </w:pBdr>
        <w:spacing w:before="200" w:after="200"/>
        <w:ind w:firstLine="0"/>
        <w:rPr>
          <w:rFonts w:eastAsia="Calibri"/>
          <w:szCs w:val="24"/>
          <w:lang w:val="el-GR"/>
        </w:rPr>
      </w:pPr>
      <w:r w:rsidRPr="008275EC">
        <w:rPr>
          <w:rFonts w:eastAsia="Calibri"/>
          <w:noProof/>
          <w:szCs w:val="24"/>
          <w:lang w:val="el-GR" w:eastAsia="el-GR"/>
        </w:rPr>
        <w:drawing>
          <wp:anchor distT="0" distB="0" distL="114300" distR="114300" simplePos="0" relativeHeight="251660288" behindDoc="0" locked="0" layoutInCell="1" allowOverlap="1" wp14:anchorId="208E4E65" wp14:editId="52D5118B">
            <wp:simplePos x="0" y="0"/>
            <wp:positionH relativeFrom="margin">
              <wp:posOffset>-588630</wp:posOffset>
            </wp:positionH>
            <wp:positionV relativeFrom="paragraph">
              <wp:posOffset>302348</wp:posOffset>
            </wp:positionV>
            <wp:extent cx="6829425" cy="2524760"/>
            <wp:effectExtent l="0" t="0" r="9525" b="8890"/>
            <wp:wrapTopAndBottom/>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29425" cy="2524760"/>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632493FB" w14:textId="7745F617" w:rsidR="008275EC" w:rsidRPr="008275EC" w:rsidRDefault="0056487C" w:rsidP="0056487C">
      <w:pPr>
        <w:pBdr>
          <w:top w:val="nil"/>
          <w:left w:val="nil"/>
          <w:bottom w:val="nil"/>
          <w:right w:val="nil"/>
          <w:between w:val="nil"/>
          <w:bar w:val="nil"/>
        </w:pBdr>
        <w:spacing w:before="200" w:after="200"/>
        <w:ind w:firstLine="0"/>
        <w:rPr>
          <w:rFonts w:eastAsia="Calibri"/>
          <w:b/>
          <w:bCs/>
          <w:szCs w:val="24"/>
          <w:lang w:val="el-GR"/>
        </w:rPr>
      </w:pPr>
      <w:r>
        <w:rPr>
          <w:rFonts w:eastAsia="Calibri"/>
          <w:b/>
          <w:bCs/>
          <w:szCs w:val="24"/>
          <w:lang w:val="el-GR"/>
        </w:rPr>
        <w:t>Σχήμα</w:t>
      </w:r>
      <w:r w:rsidR="00954066" w:rsidRPr="008275EC">
        <w:rPr>
          <w:rFonts w:eastAsia="Calibri"/>
          <w:b/>
          <w:bCs/>
          <w:szCs w:val="24"/>
          <w:lang w:val="el-GR"/>
        </w:rPr>
        <w:t xml:space="preserve"> 1β</w:t>
      </w:r>
      <w:r>
        <w:rPr>
          <w:rFonts w:eastAsia="Calibri"/>
          <w:b/>
          <w:bCs/>
          <w:szCs w:val="24"/>
          <w:lang w:val="el-GR"/>
        </w:rPr>
        <w:t>.</w:t>
      </w:r>
      <w:r w:rsidR="00954066" w:rsidRPr="008275EC">
        <w:rPr>
          <w:rFonts w:eastAsia="Calibri"/>
          <w:b/>
          <w:bCs/>
          <w:szCs w:val="24"/>
          <w:lang w:val="el-GR"/>
        </w:rPr>
        <w:t xml:space="preserve"> </w:t>
      </w:r>
      <w:r w:rsidRPr="008275EC">
        <w:rPr>
          <w:rFonts w:eastAsia="Calibri"/>
          <w:szCs w:val="24"/>
          <w:lang w:val="el-GR"/>
        </w:rPr>
        <w:t>Ποσοστια</w:t>
      </w:r>
      <w:r>
        <w:rPr>
          <w:rFonts w:eastAsia="Calibri"/>
          <w:szCs w:val="24"/>
          <w:lang w:val="el-GR"/>
        </w:rPr>
        <w:t>ίε</w:t>
      </w:r>
      <w:r w:rsidRPr="008275EC">
        <w:rPr>
          <w:rFonts w:eastAsia="Calibri"/>
          <w:szCs w:val="24"/>
          <w:lang w:val="el-GR"/>
        </w:rPr>
        <w:t>ς Μεταβολ</w:t>
      </w:r>
      <w:r>
        <w:rPr>
          <w:rFonts w:eastAsia="Calibri"/>
          <w:szCs w:val="24"/>
          <w:lang w:val="el-GR"/>
        </w:rPr>
        <w:t>έ</w:t>
      </w:r>
      <w:r w:rsidRPr="008275EC">
        <w:rPr>
          <w:rFonts w:eastAsia="Calibri"/>
          <w:szCs w:val="24"/>
          <w:lang w:val="el-GR"/>
        </w:rPr>
        <w:t>ς Καθαρ</w:t>
      </w:r>
      <w:r>
        <w:rPr>
          <w:rFonts w:eastAsia="Calibri"/>
          <w:szCs w:val="24"/>
          <w:lang w:val="el-GR"/>
        </w:rPr>
        <w:t>ώ</w:t>
      </w:r>
      <w:r w:rsidRPr="008275EC">
        <w:rPr>
          <w:rFonts w:eastAsia="Calibri"/>
          <w:szCs w:val="24"/>
          <w:lang w:val="el-GR"/>
        </w:rPr>
        <w:t>ν Κερδ</w:t>
      </w:r>
      <w:r>
        <w:rPr>
          <w:rFonts w:eastAsia="Calibri"/>
          <w:szCs w:val="24"/>
          <w:lang w:val="el-GR"/>
        </w:rPr>
        <w:t>ώ</w:t>
      </w:r>
      <w:r w:rsidRPr="008275EC">
        <w:rPr>
          <w:rFonts w:eastAsia="Calibri"/>
          <w:szCs w:val="24"/>
          <w:lang w:val="el-GR"/>
        </w:rPr>
        <w:t>ν/ Ζημι</w:t>
      </w:r>
      <w:r>
        <w:rPr>
          <w:rFonts w:eastAsia="Calibri"/>
          <w:szCs w:val="24"/>
          <w:lang w:val="el-GR"/>
        </w:rPr>
        <w:t>ώ</w:t>
      </w:r>
      <w:r w:rsidRPr="008275EC">
        <w:rPr>
          <w:rFonts w:eastAsia="Calibri"/>
          <w:szCs w:val="24"/>
          <w:lang w:val="el-GR"/>
        </w:rPr>
        <w:t>ν – Εθνικ</w:t>
      </w:r>
      <w:r>
        <w:rPr>
          <w:rFonts w:eastAsia="Calibri"/>
          <w:szCs w:val="24"/>
          <w:lang w:val="el-GR"/>
        </w:rPr>
        <w:t>ή</w:t>
      </w:r>
      <w:r w:rsidRPr="008275EC">
        <w:rPr>
          <w:rFonts w:eastAsia="Calibri"/>
          <w:szCs w:val="24"/>
          <w:lang w:val="el-GR"/>
        </w:rPr>
        <w:t xml:space="preserve"> Τρ</w:t>
      </w:r>
      <w:r>
        <w:rPr>
          <w:rFonts w:eastAsia="Calibri"/>
          <w:szCs w:val="24"/>
          <w:lang w:val="el-GR"/>
        </w:rPr>
        <w:t>ά</w:t>
      </w:r>
      <w:r w:rsidRPr="008275EC">
        <w:rPr>
          <w:rFonts w:eastAsia="Calibri"/>
          <w:szCs w:val="24"/>
          <w:lang w:val="el-GR"/>
        </w:rPr>
        <w:t xml:space="preserve">πεζα </w:t>
      </w:r>
      <w:r>
        <w:rPr>
          <w:rFonts w:eastAsia="Calibri"/>
          <w:szCs w:val="24"/>
          <w:lang w:val="el-GR"/>
        </w:rPr>
        <w:t>τ</w:t>
      </w:r>
      <w:r w:rsidRPr="008275EC">
        <w:rPr>
          <w:rFonts w:eastAsia="Calibri"/>
          <w:szCs w:val="24"/>
          <w:lang w:val="el-GR"/>
        </w:rPr>
        <w:t>ης Ελλ</w:t>
      </w:r>
      <w:r>
        <w:rPr>
          <w:rFonts w:eastAsia="Calibri"/>
          <w:szCs w:val="24"/>
          <w:lang w:val="el-GR"/>
        </w:rPr>
        <w:t>ά</w:t>
      </w:r>
      <w:r w:rsidRPr="008275EC">
        <w:rPr>
          <w:rFonts w:eastAsia="Calibri"/>
          <w:szCs w:val="24"/>
          <w:lang w:val="el-GR"/>
        </w:rPr>
        <w:t>δος</w:t>
      </w:r>
      <w:r>
        <w:rPr>
          <w:rFonts w:eastAsia="Calibri"/>
          <w:b/>
          <w:bCs/>
          <w:szCs w:val="24"/>
          <w:lang w:val="el-GR"/>
        </w:rPr>
        <w:t xml:space="preserve"> (</w:t>
      </w:r>
      <w:r w:rsidR="008275EC" w:rsidRPr="008275EC">
        <w:rPr>
          <w:rFonts w:eastAsia="Calibri"/>
          <w:szCs w:val="24"/>
          <w:lang w:val="el-GR"/>
        </w:rPr>
        <w:t xml:space="preserve">Πηγή: Το διάγραμμα δημιουργήθηκε στο </w:t>
      </w:r>
      <w:r w:rsidR="008275EC" w:rsidRPr="008275EC">
        <w:rPr>
          <w:rFonts w:eastAsia="Calibri"/>
          <w:szCs w:val="24"/>
          <w:lang w:val="en-GB"/>
        </w:rPr>
        <w:t>Microsoft</w:t>
      </w:r>
      <w:r w:rsidR="008275EC" w:rsidRPr="008275EC">
        <w:rPr>
          <w:rFonts w:eastAsia="Calibri"/>
          <w:szCs w:val="24"/>
          <w:lang w:val="el-GR"/>
        </w:rPr>
        <w:t xml:space="preserve"> </w:t>
      </w:r>
      <w:r w:rsidR="008275EC" w:rsidRPr="008275EC">
        <w:rPr>
          <w:rFonts w:eastAsia="Calibri"/>
          <w:szCs w:val="24"/>
          <w:lang w:val="en-GB"/>
        </w:rPr>
        <w:t>Office</w:t>
      </w:r>
      <w:r w:rsidR="008275EC" w:rsidRPr="008275EC">
        <w:rPr>
          <w:rFonts w:eastAsia="Calibri"/>
          <w:szCs w:val="24"/>
          <w:lang w:val="el-GR"/>
        </w:rPr>
        <w:t xml:space="preserve"> </w:t>
      </w:r>
      <w:r w:rsidR="008275EC" w:rsidRPr="008275EC">
        <w:rPr>
          <w:rFonts w:eastAsia="Calibri"/>
          <w:szCs w:val="24"/>
          <w:lang w:val="en-GB"/>
        </w:rPr>
        <w:t>excel</w:t>
      </w:r>
      <w:r w:rsidR="008275EC" w:rsidRPr="008275EC">
        <w:rPr>
          <w:rFonts w:eastAsia="Calibri"/>
          <w:szCs w:val="24"/>
          <w:lang w:val="el-GR"/>
        </w:rPr>
        <w:t xml:space="preserve"> από τον συγγραφέα</w:t>
      </w:r>
      <w:r>
        <w:rPr>
          <w:rFonts w:eastAsia="Calibri"/>
          <w:szCs w:val="24"/>
          <w:lang w:val="el-GR"/>
        </w:rPr>
        <w:t>)</w:t>
      </w:r>
      <w:r w:rsidR="008275EC" w:rsidRPr="008275EC">
        <w:rPr>
          <w:rFonts w:eastAsia="Calibri"/>
          <w:szCs w:val="24"/>
          <w:lang w:val="el-GR"/>
        </w:rPr>
        <w:t>.</w:t>
      </w:r>
    </w:p>
    <w:p w14:paraId="155D6209" w14:textId="77777777" w:rsidR="0056487C" w:rsidRDefault="0056487C" w:rsidP="00954066">
      <w:pPr>
        <w:pBdr>
          <w:top w:val="nil"/>
          <w:left w:val="nil"/>
          <w:bottom w:val="nil"/>
          <w:right w:val="nil"/>
          <w:between w:val="nil"/>
          <w:bar w:val="nil"/>
        </w:pBdr>
        <w:spacing w:before="200" w:after="200"/>
        <w:ind w:firstLine="709"/>
        <w:rPr>
          <w:rFonts w:eastAsia="Calibri"/>
          <w:szCs w:val="24"/>
          <w:lang w:val="el-GR"/>
        </w:rPr>
      </w:pPr>
    </w:p>
    <w:p w14:paraId="20A15344" w14:textId="034BFE09" w:rsidR="00FC3511" w:rsidRDefault="008275EC" w:rsidP="00954066">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lastRenderedPageBreak/>
        <w:t>Συνεχίζοντας, όσον αφορά την κερδοφορία της εταιρείας, υπολογίστηκαν οι δείκτες της απόδοσης των περιουσιακών στοιχείων (</w:t>
      </w:r>
      <w:r w:rsidRPr="008275EC">
        <w:rPr>
          <w:rFonts w:eastAsia="Calibri"/>
          <w:szCs w:val="24"/>
        </w:rPr>
        <w:t>ROA</w:t>
      </w:r>
      <w:r w:rsidRPr="008275EC">
        <w:rPr>
          <w:rFonts w:eastAsia="Calibri"/>
          <w:szCs w:val="24"/>
          <w:lang w:val="el-GR"/>
        </w:rPr>
        <w:t>) και της απόδοσης των ιδίων κεφαλαίων (</w:t>
      </w:r>
      <w:r w:rsidRPr="008275EC">
        <w:rPr>
          <w:rFonts w:eastAsia="Calibri"/>
          <w:szCs w:val="24"/>
        </w:rPr>
        <w:t>ROE</w:t>
      </w:r>
      <w:r w:rsidRPr="008275EC">
        <w:rPr>
          <w:rFonts w:eastAsia="Calibri"/>
          <w:szCs w:val="24"/>
          <w:lang w:val="el-GR"/>
        </w:rPr>
        <w:t xml:space="preserve">). Όσον αφορά τον δείκτη </w:t>
      </w:r>
      <w:r w:rsidRPr="008275EC">
        <w:rPr>
          <w:rFonts w:eastAsia="Calibri"/>
          <w:szCs w:val="24"/>
        </w:rPr>
        <w:t>ROA</w:t>
      </w:r>
      <w:r w:rsidRPr="008275EC">
        <w:rPr>
          <w:rFonts w:eastAsia="Calibri"/>
          <w:szCs w:val="24"/>
          <w:lang w:val="el-GR"/>
        </w:rPr>
        <w:t xml:space="preserve"> αυτός αναφέρεται στο πόσο κερδοφόρος είναι ένας οργανισμός, λαμβάνοντας υπόψη το σύνολο των περιουσιακών του στοιχείων. Ακόμη, αναφέρεται στο πόσο αποτελεσματικά ένας οργανισμός χρησιμοποιεί τα περιουσιακά του στοιχεία, προκειμένου να δημιουργήσει έσοδα και κέρδη. Ο δείκτης </w:t>
      </w:r>
      <w:r w:rsidRPr="008275EC">
        <w:rPr>
          <w:rFonts w:eastAsia="Calibri"/>
          <w:szCs w:val="24"/>
        </w:rPr>
        <w:t>ROA</w:t>
      </w:r>
      <w:r w:rsidRPr="008275EC">
        <w:rPr>
          <w:rFonts w:eastAsia="Calibri"/>
          <w:szCs w:val="24"/>
          <w:lang w:val="el-GR"/>
        </w:rPr>
        <w:t xml:space="preserve"> εκφράζεται ως ποσοστό. Προτιμάται μια μεγάλη αξία δείκτη (από 5% και άνω). Τιμή </w:t>
      </w:r>
      <w:r w:rsidRPr="008275EC">
        <w:rPr>
          <w:rFonts w:eastAsia="Calibri"/>
          <w:szCs w:val="24"/>
        </w:rPr>
        <w:t>ROA</w:t>
      </w:r>
      <w:r w:rsidRPr="008275EC">
        <w:rPr>
          <w:rFonts w:eastAsia="Calibri"/>
          <w:szCs w:val="24"/>
          <w:lang w:val="el-GR"/>
        </w:rPr>
        <w:t xml:space="preserve"> από 20% και πάνω, εκφράζει μια εξαιρετική απόδοση.</w:t>
      </w:r>
    </w:p>
    <w:p w14:paraId="00A16E77" w14:textId="07569BBD" w:rsidR="008275EC" w:rsidRPr="008275EC" w:rsidRDefault="008275EC" w:rsidP="00954066">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Ο δείκτης υπολογίζεται ως εξής:</w:t>
      </w:r>
    </w:p>
    <w:p w14:paraId="4C178693" w14:textId="77777777" w:rsidR="008275EC" w:rsidRPr="008275EC" w:rsidRDefault="008275EC" w:rsidP="008275EC">
      <w:pPr>
        <w:pBdr>
          <w:top w:val="nil"/>
          <w:left w:val="nil"/>
          <w:bottom w:val="nil"/>
          <w:right w:val="nil"/>
          <w:between w:val="nil"/>
          <w:bar w:val="nil"/>
        </w:pBdr>
        <w:spacing w:before="200" w:after="200"/>
        <w:ind w:left="720" w:firstLine="0"/>
        <w:rPr>
          <w:rFonts w:eastAsia="Calibri"/>
          <w:szCs w:val="24"/>
          <w:lang w:val="el-GR"/>
        </w:rPr>
      </w:pPr>
      <w:r w:rsidRPr="008275EC">
        <w:rPr>
          <w:rFonts w:eastAsia="Calibri"/>
          <w:szCs w:val="24"/>
        </w:rPr>
        <w:t>ROA</w:t>
      </w:r>
      <w:r w:rsidRPr="008275EC">
        <w:rPr>
          <w:rFonts w:eastAsia="Calibri"/>
          <w:szCs w:val="24"/>
          <w:lang w:val="el-GR"/>
        </w:rPr>
        <w:t xml:space="preserve"> = </w:t>
      </w:r>
      <w:bookmarkStart w:id="59" w:name="_Hlk84843677"/>
      <w:r w:rsidRPr="008275EC">
        <w:rPr>
          <w:rFonts w:eastAsia="Calibri"/>
          <w:szCs w:val="24"/>
          <w:lang w:val="el-GR"/>
        </w:rPr>
        <w:t xml:space="preserve">Καθαρά κέρδη (Ζημιές)/ Σύνολο </w:t>
      </w:r>
      <w:bookmarkEnd w:id="59"/>
      <w:r w:rsidRPr="008275EC">
        <w:rPr>
          <w:rFonts w:eastAsia="Calibri"/>
          <w:szCs w:val="24"/>
          <w:lang w:val="el-GR"/>
        </w:rPr>
        <w:t>ενεργητικού.</w:t>
      </w:r>
    </w:p>
    <w:p w14:paraId="39BF23F9" w14:textId="5D59C55F" w:rsidR="008275EC" w:rsidRPr="008275EC" w:rsidRDefault="008275EC" w:rsidP="008275EC">
      <w:pPr>
        <w:pBdr>
          <w:top w:val="nil"/>
          <w:left w:val="nil"/>
          <w:bottom w:val="nil"/>
          <w:right w:val="nil"/>
          <w:between w:val="nil"/>
          <w:bar w:val="nil"/>
        </w:pBdr>
        <w:spacing w:before="200" w:after="200"/>
        <w:ind w:firstLine="0"/>
        <w:rPr>
          <w:rFonts w:eastAsia="Arial Unicode MS"/>
          <w:b/>
          <w:bCs/>
          <w:szCs w:val="24"/>
          <w:u w:val="single"/>
          <w:bdr w:val="nil"/>
          <w:lang w:val="el-GR"/>
        </w:rPr>
      </w:pPr>
      <w:r w:rsidRPr="008275EC">
        <w:rPr>
          <w:rFonts w:eastAsia="Calibri"/>
          <w:noProof/>
          <w:szCs w:val="24"/>
          <w:lang w:val="el-GR" w:eastAsia="el-GR"/>
        </w:rPr>
        <w:drawing>
          <wp:anchor distT="0" distB="0" distL="114300" distR="114300" simplePos="0" relativeHeight="251661312" behindDoc="0" locked="0" layoutInCell="1" allowOverlap="1" wp14:anchorId="6AE2D5A6" wp14:editId="1B2B2A6F">
            <wp:simplePos x="0" y="0"/>
            <wp:positionH relativeFrom="margin">
              <wp:posOffset>-548640</wp:posOffset>
            </wp:positionH>
            <wp:positionV relativeFrom="paragraph">
              <wp:posOffset>347980</wp:posOffset>
            </wp:positionV>
            <wp:extent cx="6829425" cy="2249805"/>
            <wp:effectExtent l="0" t="0" r="9525"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829425" cy="224980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74D3CEA3" w14:textId="358D5C09" w:rsidR="008275EC" w:rsidRPr="008275EC" w:rsidRDefault="0056487C" w:rsidP="0056487C">
      <w:pPr>
        <w:pBdr>
          <w:top w:val="nil"/>
          <w:left w:val="nil"/>
          <w:bottom w:val="nil"/>
          <w:right w:val="nil"/>
          <w:between w:val="nil"/>
          <w:bar w:val="nil"/>
        </w:pBdr>
        <w:spacing w:before="200" w:after="200"/>
        <w:ind w:firstLine="0"/>
        <w:rPr>
          <w:rFonts w:eastAsia="Arial Unicode MS"/>
          <w:szCs w:val="24"/>
          <w:bdr w:val="nil"/>
          <w:lang w:val="el-GR"/>
        </w:rPr>
      </w:pPr>
      <w:bookmarkStart w:id="60" w:name="_Hlk84843071"/>
      <w:r>
        <w:rPr>
          <w:rFonts w:eastAsia="Calibri"/>
          <w:b/>
          <w:bCs/>
          <w:szCs w:val="24"/>
          <w:lang w:val="el-GR"/>
        </w:rPr>
        <w:t>Σχήμα</w:t>
      </w:r>
      <w:r w:rsidR="00954066" w:rsidRPr="008275EC">
        <w:rPr>
          <w:rFonts w:eastAsia="Arial Unicode MS"/>
          <w:b/>
          <w:bCs/>
          <w:szCs w:val="24"/>
          <w:bdr w:val="nil"/>
          <w:lang w:val="el-GR"/>
        </w:rPr>
        <w:t xml:space="preserve"> 2α</w:t>
      </w:r>
      <w:r>
        <w:rPr>
          <w:rFonts w:eastAsia="Arial Unicode MS"/>
          <w:b/>
          <w:bCs/>
          <w:szCs w:val="24"/>
          <w:bdr w:val="nil"/>
          <w:lang w:val="el-GR"/>
        </w:rPr>
        <w:t>.</w:t>
      </w:r>
      <w:r w:rsidR="00954066" w:rsidRPr="008275EC">
        <w:rPr>
          <w:rFonts w:eastAsia="Arial Unicode MS"/>
          <w:b/>
          <w:bCs/>
          <w:szCs w:val="24"/>
          <w:bdr w:val="nil"/>
          <w:lang w:val="el-GR"/>
        </w:rPr>
        <w:t xml:space="preserve"> </w:t>
      </w:r>
      <w:r w:rsidR="00954066" w:rsidRPr="008275EC">
        <w:rPr>
          <w:rFonts w:eastAsia="Arial Unicode MS"/>
          <w:szCs w:val="24"/>
          <w:bdr w:val="nil"/>
          <w:lang w:val="el-GR"/>
        </w:rPr>
        <w:t>Δ</w:t>
      </w:r>
      <w:r>
        <w:rPr>
          <w:rFonts w:eastAsia="Arial Unicode MS"/>
          <w:szCs w:val="24"/>
          <w:bdr w:val="nil"/>
          <w:lang w:val="el-GR"/>
        </w:rPr>
        <w:t>είκτης</w:t>
      </w:r>
      <w:r w:rsidR="00954066" w:rsidRPr="008275EC">
        <w:rPr>
          <w:rFonts w:eastAsia="Arial Unicode MS"/>
          <w:szCs w:val="24"/>
          <w:bdr w:val="nil"/>
          <w:lang w:val="el-GR"/>
        </w:rPr>
        <w:t xml:space="preserve"> </w:t>
      </w:r>
      <w:r w:rsidR="00954066" w:rsidRPr="008275EC">
        <w:rPr>
          <w:rFonts w:eastAsia="Arial Unicode MS"/>
          <w:szCs w:val="24"/>
          <w:bdr w:val="nil"/>
        </w:rPr>
        <w:t>ROA</w:t>
      </w:r>
      <w:r w:rsidR="00954066" w:rsidRPr="008275EC">
        <w:rPr>
          <w:rFonts w:eastAsia="Arial Unicode MS"/>
          <w:szCs w:val="24"/>
          <w:bdr w:val="nil"/>
          <w:lang w:val="el-GR"/>
        </w:rPr>
        <w:t xml:space="preserve"> – </w:t>
      </w:r>
      <w:r w:rsidRPr="008275EC">
        <w:rPr>
          <w:rFonts w:eastAsia="Calibri"/>
          <w:szCs w:val="24"/>
          <w:lang w:val="el-GR"/>
        </w:rPr>
        <w:t>Εθνικ</w:t>
      </w:r>
      <w:r>
        <w:rPr>
          <w:rFonts w:eastAsia="Calibri"/>
          <w:szCs w:val="24"/>
          <w:lang w:val="el-GR"/>
        </w:rPr>
        <w:t>ή</w:t>
      </w:r>
      <w:r w:rsidRPr="008275EC">
        <w:rPr>
          <w:rFonts w:eastAsia="Calibri"/>
          <w:szCs w:val="24"/>
          <w:lang w:val="el-GR"/>
        </w:rPr>
        <w:t xml:space="preserve"> Τρ</w:t>
      </w:r>
      <w:r>
        <w:rPr>
          <w:rFonts w:eastAsia="Calibri"/>
          <w:szCs w:val="24"/>
          <w:lang w:val="el-GR"/>
        </w:rPr>
        <w:t>ά</w:t>
      </w:r>
      <w:r w:rsidRPr="008275EC">
        <w:rPr>
          <w:rFonts w:eastAsia="Calibri"/>
          <w:szCs w:val="24"/>
          <w:lang w:val="el-GR"/>
        </w:rPr>
        <w:t xml:space="preserve">πεζα </w:t>
      </w:r>
      <w:r>
        <w:rPr>
          <w:rFonts w:eastAsia="Calibri"/>
          <w:szCs w:val="24"/>
          <w:lang w:val="el-GR"/>
        </w:rPr>
        <w:t>τ</w:t>
      </w:r>
      <w:r w:rsidRPr="008275EC">
        <w:rPr>
          <w:rFonts w:eastAsia="Calibri"/>
          <w:szCs w:val="24"/>
          <w:lang w:val="el-GR"/>
        </w:rPr>
        <w:t>ης Ελλ</w:t>
      </w:r>
      <w:r>
        <w:rPr>
          <w:rFonts w:eastAsia="Calibri"/>
          <w:szCs w:val="24"/>
          <w:lang w:val="el-GR"/>
        </w:rPr>
        <w:t>ά</w:t>
      </w:r>
      <w:r w:rsidRPr="008275EC">
        <w:rPr>
          <w:rFonts w:eastAsia="Calibri"/>
          <w:szCs w:val="24"/>
          <w:lang w:val="el-GR"/>
        </w:rPr>
        <w:t>δος</w:t>
      </w:r>
      <w:r>
        <w:rPr>
          <w:rFonts w:eastAsia="Arial Unicode MS"/>
          <w:szCs w:val="24"/>
          <w:bdr w:val="nil"/>
          <w:lang w:val="el-GR"/>
        </w:rPr>
        <w:t xml:space="preserve"> (</w:t>
      </w:r>
      <w:r w:rsidR="008275EC" w:rsidRPr="008275EC">
        <w:rPr>
          <w:rFonts w:eastAsia="Calibri"/>
          <w:szCs w:val="24"/>
          <w:lang w:val="el-GR"/>
        </w:rPr>
        <w:t xml:space="preserve">Πηγή: Το διάγραμμα δημιουργήθηκε στο </w:t>
      </w:r>
      <w:r w:rsidR="008275EC" w:rsidRPr="008275EC">
        <w:rPr>
          <w:rFonts w:eastAsia="Calibri"/>
          <w:szCs w:val="24"/>
          <w:lang w:val="en-GB"/>
        </w:rPr>
        <w:t>Microsoft</w:t>
      </w:r>
      <w:r w:rsidR="008275EC" w:rsidRPr="008275EC">
        <w:rPr>
          <w:rFonts w:eastAsia="Calibri"/>
          <w:szCs w:val="24"/>
          <w:lang w:val="el-GR"/>
        </w:rPr>
        <w:t xml:space="preserve"> </w:t>
      </w:r>
      <w:r w:rsidR="008275EC" w:rsidRPr="008275EC">
        <w:rPr>
          <w:rFonts w:eastAsia="Calibri"/>
          <w:szCs w:val="24"/>
          <w:lang w:val="en-GB"/>
        </w:rPr>
        <w:t>Office</w:t>
      </w:r>
      <w:r w:rsidR="008275EC" w:rsidRPr="008275EC">
        <w:rPr>
          <w:rFonts w:eastAsia="Calibri"/>
          <w:szCs w:val="24"/>
          <w:lang w:val="el-GR"/>
        </w:rPr>
        <w:t xml:space="preserve"> </w:t>
      </w:r>
      <w:r w:rsidR="008275EC" w:rsidRPr="008275EC">
        <w:rPr>
          <w:rFonts w:eastAsia="Calibri"/>
          <w:szCs w:val="24"/>
          <w:lang w:val="en-GB"/>
        </w:rPr>
        <w:t>excel</w:t>
      </w:r>
      <w:r w:rsidR="008275EC" w:rsidRPr="008275EC">
        <w:rPr>
          <w:rFonts w:eastAsia="Calibri"/>
          <w:szCs w:val="24"/>
          <w:lang w:val="el-GR"/>
        </w:rPr>
        <w:t xml:space="preserve"> από τον συγγραφέα</w:t>
      </w:r>
      <w:r>
        <w:rPr>
          <w:rFonts w:eastAsia="Calibri"/>
          <w:szCs w:val="24"/>
          <w:lang w:val="el-GR"/>
        </w:rPr>
        <w:t>)</w:t>
      </w:r>
      <w:r w:rsidR="008275EC" w:rsidRPr="008275EC">
        <w:rPr>
          <w:rFonts w:eastAsia="Calibri"/>
          <w:szCs w:val="24"/>
          <w:lang w:val="el-GR"/>
        </w:rPr>
        <w:t>.</w:t>
      </w:r>
    </w:p>
    <w:bookmarkEnd w:id="60"/>
    <w:p w14:paraId="1F214816" w14:textId="77777777" w:rsidR="00FC3511" w:rsidRDefault="00FC3511" w:rsidP="00FC3511">
      <w:pPr>
        <w:pBdr>
          <w:top w:val="nil"/>
          <w:left w:val="nil"/>
          <w:bottom w:val="nil"/>
          <w:right w:val="nil"/>
          <w:between w:val="nil"/>
          <w:bar w:val="nil"/>
        </w:pBdr>
        <w:spacing w:before="200" w:after="200"/>
        <w:ind w:firstLine="0"/>
        <w:rPr>
          <w:rFonts w:eastAsia="Arial Unicode MS"/>
          <w:b/>
          <w:bCs/>
          <w:szCs w:val="24"/>
          <w:u w:val="single"/>
          <w:bdr w:val="nil"/>
          <w:lang w:val="el-GR"/>
        </w:rPr>
      </w:pPr>
    </w:p>
    <w:p w14:paraId="10395CE9" w14:textId="77777777" w:rsidR="00FC3511" w:rsidRDefault="00FC3511" w:rsidP="00FC3511">
      <w:pPr>
        <w:pBdr>
          <w:top w:val="nil"/>
          <w:left w:val="nil"/>
          <w:bottom w:val="nil"/>
          <w:right w:val="nil"/>
          <w:between w:val="nil"/>
          <w:bar w:val="nil"/>
        </w:pBdr>
        <w:spacing w:before="200" w:after="200"/>
        <w:ind w:firstLine="0"/>
        <w:rPr>
          <w:rFonts w:eastAsia="Arial Unicode MS"/>
          <w:b/>
          <w:bCs/>
          <w:szCs w:val="24"/>
          <w:u w:val="single"/>
          <w:bdr w:val="nil"/>
          <w:lang w:val="el-GR"/>
        </w:rPr>
      </w:pPr>
    </w:p>
    <w:p w14:paraId="44F28E04" w14:textId="77777777" w:rsidR="00FC3511" w:rsidRDefault="00FC3511" w:rsidP="00FC3511">
      <w:pPr>
        <w:pBdr>
          <w:top w:val="nil"/>
          <w:left w:val="nil"/>
          <w:bottom w:val="nil"/>
          <w:right w:val="nil"/>
          <w:between w:val="nil"/>
          <w:bar w:val="nil"/>
        </w:pBdr>
        <w:spacing w:before="200" w:after="200"/>
        <w:ind w:firstLine="0"/>
        <w:rPr>
          <w:rFonts w:eastAsia="Arial Unicode MS"/>
          <w:b/>
          <w:bCs/>
          <w:szCs w:val="24"/>
          <w:u w:val="single"/>
          <w:bdr w:val="nil"/>
          <w:lang w:val="el-GR"/>
        </w:rPr>
      </w:pPr>
    </w:p>
    <w:p w14:paraId="12719528" w14:textId="77777777" w:rsidR="00FC3511" w:rsidRDefault="00FC3511" w:rsidP="00FC3511">
      <w:pPr>
        <w:pBdr>
          <w:top w:val="nil"/>
          <w:left w:val="nil"/>
          <w:bottom w:val="nil"/>
          <w:right w:val="nil"/>
          <w:between w:val="nil"/>
          <w:bar w:val="nil"/>
        </w:pBdr>
        <w:spacing w:before="200" w:after="200"/>
        <w:ind w:firstLine="0"/>
        <w:rPr>
          <w:rFonts w:eastAsia="Arial Unicode MS"/>
          <w:b/>
          <w:bCs/>
          <w:szCs w:val="24"/>
          <w:u w:val="single"/>
          <w:bdr w:val="nil"/>
          <w:lang w:val="el-GR"/>
        </w:rPr>
      </w:pPr>
    </w:p>
    <w:p w14:paraId="3BDF7DF4" w14:textId="77777777" w:rsidR="00FC3511" w:rsidRDefault="00FC3511" w:rsidP="00FC3511">
      <w:pPr>
        <w:pBdr>
          <w:top w:val="nil"/>
          <w:left w:val="nil"/>
          <w:bottom w:val="nil"/>
          <w:right w:val="nil"/>
          <w:between w:val="nil"/>
          <w:bar w:val="nil"/>
        </w:pBdr>
        <w:spacing w:before="200" w:after="200"/>
        <w:ind w:firstLine="0"/>
        <w:rPr>
          <w:rFonts w:eastAsia="Arial Unicode MS"/>
          <w:b/>
          <w:bCs/>
          <w:szCs w:val="24"/>
          <w:u w:val="single"/>
          <w:bdr w:val="nil"/>
          <w:lang w:val="el-GR"/>
        </w:rPr>
      </w:pPr>
    </w:p>
    <w:p w14:paraId="32C0DF8B" w14:textId="65F0F947" w:rsidR="008275EC" w:rsidRPr="008275EC" w:rsidRDefault="00FC3511" w:rsidP="00C96E92">
      <w:pPr>
        <w:pBdr>
          <w:top w:val="nil"/>
          <w:left w:val="nil"/>
          <w:bottom w:val="nil"/>
          <w:right w:val="nil"/>
          <w:between w:val="nil"/>
          <w:bar w:val="nil"/>
        </w:pBdr>
        <w:spacing w:before="200" w:after="200"/>
        <w:ind w:firstLine="0"/>
        <w:rPr>
          <w:rFonts w:eastAsia="Calibri"/>
          <w:szCs w:val="24"/>
          <w:lang w:val="el-GR"/>
        </w:rPr>
      </w:pPr>
      <w:r w:rsidRPr="008275EC">
        <w:rPr>
          <w:rFonts w:eastAsia="Calibri"/>
          <w:noProof/>
          <w:szCs w:val="24"/>
          <w:lang w:val="el-GR" w:eastAsia="el-GR"/>
        </w:rPr>
        <w:lastRenderedPageBreak/>
        <w:drawing>
          <wp:anchor distT="0" distB="0" distL="114300" distR="114300" simplePos="0" relativeHeight="251662336" behindDoc="0" locked="0" layoutInCell="1" allowOverlap="1" wp14:anchorId="620791CE" wp14:editId="03225CDC">
            <wp:simplePos x="0" y="0"/>
            <wp:positionH relativeFrom="margin">
              <wp:posOffset>-477225</wp:posOffset>
            </wp:positionH>
            <wp:positionV relativeFrom="paragraph">
              <wp:posOffset>4194</wp:posOffset>
            </wp:positionV>
            <wp:extent cx="6830060" cy="2122805"/>
            <wp:effectExtent l="0" t="0" r="889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830060" cy="212280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r w:rsidR="00C96E92">
        <w:rPr>
          <w:rFonts w:eastAsia="Arial Unicode MS"/>
          <w:b/>
          <w:bCs/>
          <w:szCs w:val="24"/>
          <w:bdr w:val="nil"/>
          <w:lang w:val="el-GR"/>
        </w:rPr>
        <w:t>Σχήμα</w:t>
      </w:r>
      <w:r w:rsidRPr="008275EC">
        <w:rPr>
          <w:rFonts w:eastAsia="Arial Unicode MS"/>
          <w:b/>
          <w:bCs/>
          <w:szCs w:val="24"/>
          <w:bdr w:val="nil"/>
          <w:lang w:val="el-GR"/>
        </w:rPr>
        <w:t xml:space="preserve"> 2β</w:t>
      </w:r>
      <w:r w:rsidR="00C96E92">
        <w:rPr>
          <w:rFonts w:eastAsia="Arial Unicode MS"/>
          <w:b/>
          <w:bCs/>
          <w:szCs w:val="24"/>
          <w:bdr w:val="nil"/>
          <w:lang w:val="el-GR"/>
        </w:rPr>
        <w:t>.</w:t>
      </w:r>
      <w:r w:rsidRPr="008275EC">
        <w:rPr>
          <w:rFonts w:eastAsia="Arial Unicode MS"/>
          <w:b/>
          <w:bCs/>
          <w:szCs w:val="24"/>
          <w:bdr w:val="nil"/>
          <w:lang w:val="el-GR"/>
        </w:rPr>
        <w:t xml:space="preserve"> </w:t>
      </w:r>
      <w:r w:rsidR="00C96E92" w:rsidRPr="008275EC">
        <w:rPr>
          <w:rFonts w:eastAsia="Arial Unicode MS"/>
          <w:szCs w:val="24"/>
          <w:bdr w:val="nil"/>
          <w:lang w:val="el-GR"/>
        </w:rPr>
        <w:t>Ποσοστια</w:t>
      </w:r>
      <w:r w:rsidR="00C96E92">
        <w:rPr>
          <w:rFonts w:eastAsia="Arial Unicode MS"/>
          <w:szCs w:val="24"/>
          <w:bdr w:val="nil"/>
          <w:lang w:val="el-GR"/>
        </w:rPr>
        <w:t>ί</w:t>
      </w:r>
      <w:r w:rsidR="00C96E92" w:rsidRPr="008275EC">
        <w:rPr>
          <w:rFonts w:eastAsia="Arial Unicode MS"/>
          <w:szCs w:val="24"/>
          <w:bdr w:val="nil"/>
          <w:lang w:val="el-GR"/>
        </w:rPr>
        <w:t>ες Μεταβολ</w:t>
      </w:r>
      <w:r w:rsidR="00C96E92">
        <w:rPr>
          <w:rFonts w:eastAsia="Arial Unicode MS"/>
          <w:szCs w:val="24"/>
          <w:bdr w:val="nil"/>
          <w:lang w:val="el-GR"/>
        </w:rPr>
        <w:t>έ</w:t>
      </w:r>
      <w:r w:rsidR="00C96E92" w:rsidRPr="008275EC">
        <w:rPr>
          <w:rFonts w:eastAsia="Arial Unicode MS"/>
          <w:szCs w:val="24"/>
          <w:bdr w:val="nil"/>
          <w:lang w:val="el-GR"/>
        </w:rPr>
        <w:t>ς Δε</w:t>
      </w:r>
      <w:r w:rsidR="00C96E92">
        <w:rPr>
          <w:rFonts w:eastAsia="Arial Unicode MS"/>
          <w:szCs w:val="24"/>
          <w:bdr w:val="nil"/>
          <w:lang w:val="el-GR"/>
        </w:rPr>
        <w:t>ί</w:t>
      </w:r>
      <w:r w:rsidR="00C96E92" w:rsidRPr="008275EC">
        <w:rPr>
          <w:rFonts w:eastAsia="Arial Unicode MS"/>
          <w:szCs w:val="24"/>
          <w:bdr w:val="nil"/>
          <w:lang w:val="el-GR"/>
        </w:rPr>
        <w:t xml:space="preserve">κτη </w:t>
      </w:r>
      <w:r w:rsidRPr="008275EC">
        <w:rPr>
          <w:rFonts w:eastAsia="Arial Unicode MS"/>
          <w:szCs w:val="24"/>
          <w:bdr w:val="nil"/>
        </w:rPr>
        <w:t>ROA</w:t>
      </w:r>
      <w:r w:rsidRPr="008275EC">
        <w:rPr>
          <w:rFonts w:eastAsia="Arial Unicode MS"/>
          <w:b/>
          <w:bCs/>
          <w:szCs w:val="24"/>
          <w:bdr w:val="nil"/>
          <w:lang w:val="el-GR"/>
        </w:rPr>
        <w:t xml:space="preserve"> – </w:t>
      </w:r>
      <w:bookmarkStart w:id="61" w:name="_Hlk84844903"/>
      <w:r w:rsidR="00C96E92" w:rsidRPr="008275EC">
        <w:rPr>
          <w:rFonts w:eastAsia="Calibri"/>
          <w:szCs w:val="24"/>
          <w:lang w:val="el-GR"/>
        </w:rPr>
        <w:t>Εθνικ</w:t>
      </w:r>
      <w:r w:rsidR="00C96E92">
        <w:rPr>
          <w:rFonts w:eastAsia="Calibri"/>
          <w:szCs w:val="24"/>
          <w:lang w:val="el-GR"/>
        </w:rPr>
        <w:t>ή</w:t>
      </w:r>
      <w:r w:rsidR="00C96E92" w:rsidRPr="008275EC">
        <w:rPr>
          <w:rFonts w:eastAsia="Calibri"/>
          <w:szCs w:val="24"/>
          <w:lang w:val="el-GR"/>
        </w:rPr>
        <w:t xml:space="preserve"> Τρ</w:t>
      </w:r>
      <w:r w:rsidR="00C96E92">
        <w:rPr>
          <w:rFonts w:eastAsia="Calibri"/>
          <w:szCs w:val="24"/>
          <w:lang w:val="el-GR"/>
        </w:rPr>
        <w:t>ά</w:t>
      </w:r>
      <w:r w:rsidR="00C96E92" w:rsidRPr="008275EC">
        <w:rPr>
          <w:rFonts w:eastAsia="Calibri"/>
          <w:szCs w:val="24"/>
          <w:lang w:val="el-GR"/>
        </w:rPr>
        <w:t xml:space="preserve">πεζα </w:t>
      </w:r>
      <w:r w:rsidR="00C96E92">
        <w:rPr>
          <w:rFonts w:eastAsia="Calibri"/>
          <w:szCs w:val="24"/>
          <w:lang w:val="el-GR"/>
        </w:rPr>
        <w:t>τ</w:t>
      </w:r>
      <w:r w:rsidR="00C96E92" w:rsidRPr="008275EC">
        <w:rPr>
          <w:rFonts w:eastAsia="Calibri"/>
          <w:szCs w:val="24"/>
          <w:lang w:val="el-GR"/>
        </w:rPr>
        <w:t>ης Ελλ</w:t>
      </w:r>
      <w:r w:rsidR="00C96E92">
        <w:rPr>
          <w:rFonts w:eastAsia="Calibri"/>
          <w:szCs w:val="24"/>
          <w:lang w:val="el-GR"/>
        </w:rPr>
        <w:t>ά</w:t>
      </w:r>
      <w:r w:rsidR="00C96E92" w:rsidRPr="008275EC">
        <w:rPr>
          <w:rFonts w:eastAsia="Calibri"/>
          <w:szCs w:val="24"/>
          <w:lang w:val="el-GR"/>
        </w:rPr>
        <w:t>δος</w:t>
      </w:r>
      <w:r w:rsidR="00C96E92">
        <w:rPr>
          <w:rFonts w:eastAsia="Calibri"/>
          <w:b/>
          <w:bCs/>
          <w:szCs w:val="24"/>
          <w:lang w:val="el-GR"/>
        </w:rPr>
        <w:t xml:space="preserve"> (</w:t>
      </w:r>
      <w:r w:rsidR="008275EC" w:rsidRPr="008275EC">
        <w:rPr>
          <w:rFonts w:eastAsia="Calibri"/>
          <w:szCs w:val="24"/>
          <w:lang w:val="el-GR"/>
        </w:rPr>
        <w:t xml:space="preserve">Πηγή: Το διάγραμμα δημιουργήθηκε στο </w:t>
      </w:r>
      <w:r w:rsidR="008275EC" w:rsidRPr="008275EC">
        <w:rPr>
          <w:rFonts w:eastAsia="Calibri"/>
          <w:szCs w:val="24"/>
          <w:lang w:val="en-GB"/>
        </w:rPr>
        <w:t>Microsoft</w:t>
      </w:r>
      <w:r w:rsidR="008275EC" w:rsidRPr="008275EC">
        <w:rPr>
          <w:rFonts w:eastAsia="Calibri"/>
          <w:szCs w:val="24"/>
          <w:lang w:val="el-GR"/>
        </w:rPr>
        <w:t xml:space="preserve"> </w:t>
      </w:r>
      <w:r w:rsidR="008275EC" w:rsidRPr="008275EC">
        <w:rPr>
          <w:rFonts w:eastAsia="Calibri"/>
          <w:szCs w:val="24"/>
          <w:lang w:val="en-GB"/>
        </w:rPr>
        <w:t>Office</w:t>
      </w:r>
      <w:r w:rsidR="008275EC" w:rsidRPr="008275EC">
        <w:rPr>
          <w:rFonts w:eastAsia="Calibri"/>
          <w:szCs w:val="24"/>
          <w:lang w:val="el-GR"/>
        </w:rPr>
        <w:t xml:space="preserve"> </w:t>
      </w:r>
      <w:r w:rsidR="008275EC" w:rsidRPr="008275EC">
        <w:rPr>
          <w:rFonts w:eastAsia="Calibri"/>
          <w:szCs w:val="24"/>
          <w:lang w:val="en-GB"/>
        </w:rPr>
        <w:t>excel</w:t>
      </w:r>
      <w:r w:rsidR="008275EC" w:rsidRPr="008275EC">
        <w:rPr>
          <w:rFonts w:eastAsia="Calibri"/>
          <w:szCs w:val="24"/>
          <w:lang w:val="el-GR"/>
        </w:rPr>
        <w:t xml:space="preserve"> από τον συγγραφέα</w:t>
      </w:r>
      <w:bookmarkEnd w:id="61"/>
      <w:r w:rsidR="00C96E92">
        <w:rPr>
          <w:rFonts w:eastAsia="Calibri"/>
          <w:szCs w:val="24"/>
          <w:lang w:val="el-GR"/>
        </w:rPr>
        <w:t>)</w:t>
      </w:r>
      <w:r w:rsidR="008275EC" w:rsidRPr="008275EC">
        <w:rPr>
          <w:rFonts w:eastAsia="Calibri"/>
          <w:szCs w:val="24"/>
          <w:lang w:val="el-GR"/>
        </w:rPr>
        <w:t>.</w:t>
      </w:r>
    </w:p>
    <w:p w14:paraId="468589D8" w14:textId="77777777" w:rsidR="00FC3511" w:rsidRDefault="00FC3511" w:rsidP="008275EC">
      <w:pPr>
        <w:pBdr>
          <w:top w:val="nil"/>
          <w:left w:val="nil"/>
          <w:bottom w:val="nil"/>
          <w:right w:val="nil"/>
          <w:between w:val="nil"/>
          <w:bar w:val="nil"/>
        </w:pBdr>
        <w:spacing w:before="200" w:after="200"/>
        <w:ind w:firstLine="0"/>
        <w:rPr>
          <w:rFonts w:eastAsia="Calibri"/>
          <w:szCs w:val="24"/>
          <w:lang w:val="el-GR"/>
        </w:rPr>
      </w:pPr>
      <w:bookmarkStart w:id="62" w:name="_Hlk84855238"/>
    </w:p>
    <w:p w14:paraId="7B92CB94" w14:textId="77777777" w:rsidR="00FC3511" w:rsidRDefault="008275EC" w:rsidP="00FC3511">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Σχετικά με την περίπτωση της Εθνικής Τράπεζας, βλέπουμε ότι ο δείκτης </w:t>
      </w:r>
      <w:r w:rsidRPr="008275EC">
        <w:rPr>
          <w:rFonts w:eastAsia="Calibri"/>
          <w:szCs w:val="24"/>
        </w:rPr>
        <w:t>ROA</w:t>
      </w:r>
      <w:r w:rsidRPr="008275EC">
        <w:rPr>
          <w:rFonts w:eastAsia="Calibri"/>
          <w:szCs w:val="24"/>
          <w:lang w:val="el-GR"/>
        </w:rPr>
        <w:t xml:space="preserve"> είναι συνεχώς κάτω από το 2%</w:t>
      </w:r>
      <w:r w:rsidRPr="008275EC">
        <w:rPr>
          <w:rFonts w:eastAsia="Calibri"/>
          <w:szCs w:val="24"/>
          <w:vertAlign w:val="superscript"/>
          <w:lang w:val="el-GR"/>
        </w:rPr>
        <w:footnoteReference w:id="8"/>
      </w:r>
      <w:r w:rsidRPr="008275EC">
        <w:rPr>
          <w:rFonts w:eastAsia="Calibri"/>
          <w:szCs w:val="24"/>
          <w:lang w:val="el-GR"/>
        </w:rPr>
        <w:t xml:space="preserve">, ενώ πολλές χρονιές ο δείκτης είναι αρνητικός εξαιτίας των ζημιών που εμφάνιζε ο τραπεζικός οργανισμός. Για την ακρίβεια, το 2005, πριν το ξέσπασμα της οικονομικής κρίσης, ο δείκτης ήταν περίπου 1,20%, για να αυξηθεί στο 1,80% το 2007, στη συνέχεια άρχισαν οι μειώσεις. Το 2020, ο δείκτης </w:t>
      </w:r>
      <w:r w:rsidRPr="008275EC">
        <w:rPr>
          <w:rFonts w:eastAsia="Calibri"/>
          <w:szCs w:val="24"/>
        </w:rPr>
        <w:t>ROA</w:t>
      </w:r>
      <w:r w:rsidRPr="008275EC">
        <w:rPr>
          <w:rFonts w:eastAsia="Calibri"/>
          <w:szCs w:val="24"/>
          <w:lang w:val="el-GR"/>
        </w:rPr>
        <w:t xml:space="preserve"> για την Εθνική Τράπεζα ήταν οριακά μεγαλύτερος του μηδέν (0,05%), αυξανόμενος κατά περίπου 115%, σε σχέση με το 2019. Η καλύτερη απόδοση του δείκτη, για την Εθνική Τράπεζα, ήταν το 2007 (1,80%), ενώ η χειρότερη ήταν το 2011 (-11,50%). Η πολύ χαμηλή αξία του δείκτη ROA (και σε πολλές χρονιές, η αρνητική αξία) δείχνει ότι η Εθνική Τράπεζα δεν είναι σε θέση να μεγιστοποιήσει τη χρήση των περιουσιακών της στοιχείων, προκειμένου να αποκτήσει περισσότερα κέρδη. Στην περίπτωση της Εθνικής Τράπεζας, η πορεία του δείκτη </w:t>
      </w:r>
      <w:r w:rsidRPr="008275EC">
        <w:rPr>
          <w:rFonts w:eastAsia="Calibri"/>
          <w:szCs w:val="24"/>
        </w:rPr>
        <w:t>ROA</w:t>
      </w:r>
      <w:r w:rsidRPr="008275EC">
        <w:rPr>
          <w:rFonts w:eastAsia="Calibri"/>
          <w:szCs w:val="24"/>
          <w:lang w:val="el-GR"/>
        </w:rPr>
        <w:t xml:space="preserve"> ακολουθεί κυρίως την πορεία των καθαρών κερδών/ ζημιών.</w:t>
      </w:r>
      <w:bookmarkEnd w:id="62"/>
    </w:p>
    <w:p w14:paraId="12BAFEC2" w14:textId="58D84318" w:rsidR="008275EC" w:rsidRPr="008275EC" w:rsidRDefault="008275EC" w:rsidP="00FC3511">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Όσον αφορά τον δείκτη της απόδοσης των ιδίων κεφαλαίων, </w:t>
      </w:r>
      <w:r w:rsidRPr="008275EC">
        <w:rPr>
          <w:rFonts w:eastAsia="Calibri"/>
          <w:szCs w:val="24"/>
        </w:rPr>
        <w:t>ROE</w:t>
      </w:r>
      <w:r w:rsidRPr="008275EC">
        <w:rPr>
          <w:rFonts w:eastAsia="Calibri"/>
          <w:szCs w:val="24"/>
          <w:lang w:val="el-GR"/>
        </w:rPr>
        <w:t xml:space="preserve">, αυτός αναφέρεται στο πόσο κερδοφόρος είναι ένας οργανισμός, λαμβάνοντας υπόψη τα ίδια κεφάλαια των μετόχων του. Ακόμη, ο δείκτης δείχνει πόσο αποτελεσματικά χρησιμοποιεί ένας οργανισμός τις επενδύσεις που λαμβάνει από τους μετόχους, προκειμένου να αποκομίσει έσοδα και κέρδη. Ο δείκτης </w:t>
      </w:r>
      <w:r w:rsidRPr="008275EC">
        <w:rPr>
          <w:rFonts w:eastAsia="Calibri"/>
          <w:szCs w:val="24"/>
        </w:rPr>
        <w:t>ROE</w:t>
      </w:r>
      <w:r w:rsidRPr="008275EC">
        <w:rPr>
          <w:rFonts w:eastAsia="Calibri"/>
          <w:szCs w:val="24"/>
          <w:lang w:val="el-GR"/>
        </w:rPr>
        <w:t xml:space="preserve"> εκφράζεται ως ποσοστό. Προτιμάται μια υψηλή τιμή δείκτη (από 10% και άνω). </w:t>
      </w:r>
      <w:r w:rsidRPr="008275EC">
        <w:rPr>
          <w:rFonts w:eastAsia="Calibri"/>
          <w:szCs w:val="24"/>
          <w:lang w:val="el-GR"/>
        </w:rPr>
        <w:lastRenderedPageBreak/>
        <w:t xml:space="preserve">Απόδοση από 15% και άνω θεωρείται καλή απόδοση. Ενώ, απόδοση μεταξύ 15% με 20% θεωρείται εξαιρετική απόδοση. Ο δείκτης υπολογίζεται ως εξής: </w:t>
      </w:r>
    </w:p>
    <w:p w14:paraId="2ACC09C8" w14:textId="77777777" w:rsidR="008275EC" w:rsidRPr="008275EC" w:rsidRDefault="008275EC" w:rsidP="008275EC">
      <w:pPr>
        <w:pBdr>
          <w:top w:val="nil"/>
          <w:left w:val="nil"/>
          <w:bottom w:val="nil"/>
          <w:right w:val="nil"/>
          <w:between w:val="nil"/>
          <w:bar w:val="nil"/>
        </w:pBdr>
        <w:spacing w:before="200" w:after="200"/>
        <w:ind w:left="720" w:firstLine="0"/>
        <w:rPr>
          <w:rFonts w:eastAsia="Calibri"/>
          <w:szCs w:val="24"/>
          <w:lang w:val="el-GR"/>
        </w:rPr>
      </w:pPr>
      <w:r w:rsidRPr="008275EC">
        <w:rPr>
          <w:rFonts w:eastAsia="Calibri"/>
          <w:szCs w:val="24"/>
        </w:rPr>
        <w:t>ROE</w:t>
      </w:r>
      <w:r w:rsidRPr="008275EC">
        <w:rPr>
          <w:rFonts w:eastAsia="Calibri"/>
          <w:szCs w:val="24"/>
          <w:lang w:val="el-GR"/>
        </w:rPr>
        <w:t xml:space="preserve"> = Καθαρά κέρδη (Ζημιές)/ Σύνολο ιδίων κεφαλαίων</w:t>
      </w:r>
    </w:p>
    <w:p w14:paraId="70A0050F"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45EF149F" w14:textId="77777777" w:rsidR="008275EC" w:rsidRPr="008275EC" w:rsidRDefault="008275EC" w:rsidP="00FC3511">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Όσον αφορά την περίπτωση της Εθνικής Τράπεζα, πριν το ξέσπασμα της οικονομικής κρίσης (2007 &amp; 2008), ο δείκτης είχε μια εξαιρετική απόδοση κοντά στο 19%. Στα επόμενα χρόνια, η  εν λόγω απόδοση μειώθηκε. Το 2010, ο δείκτης </w:t>
      </w:r>
      <w:r w:rsidRPr="008275EC">
        <w:rPr>
          <w:rFonts w:eastAsia="Calibri"/>
          <w:szCs w:val="24"/>
        </w:rPr>
        <w:t>ROE</w:t>
      </w:r>
      <w:r w:rsidRPr="008275EC">
        <w:rPr>
          <w:rFonts w:eastAsia="Calibri"/>
          <w:szCs w:val="24"/>
          <w:lang w:val="el-GR"/>
        </w:rPr>
        <w:t xml:space="preserve"> ήταν μόλις 4%. Ενώ, κατά τα χρόνια της κρίσης, ο δείκτης εμφάνισε ακραίες και αρνητικές τιμές. Για παράδειγμα, το 2011, η τιμή του δείκτη ήταν 4.871%, ακολουθώντας την τεράστια μείωση των κερδών και τα αρνητικά ίδια κεφάλαια. Το 2013, η απόδοση του δείκτη βελτιώθηκε, ακουμπώντας το 10%, αλλά μειώθηκε εκ νέου, παίρνοντας αρνητικές τιμές. Το 2020, η τιμή του δείκτη ήταν 1% (αύξηση περίπου 120%). Πριν την οικονομική κρίση, η Εθνική Τράπεζα μπορούσε να δημιουργήσει έσοδα και κέρδη, μέσα από τη χρήση των χρημάτων των μετόχων της. Όμως, μετά το πέρας της κρίσης, η τράπεζα αντιμετωπίζει προβλήματα, ως προς την εν λόγω δυνατότητα.</w:t>
      </w:r>
    </w:p>
    <w:p w14:paraId="7FF7017B" w14:textId="7CE9280A" w:rsidR="008275EC" w:rsidRPr="008275EC" w:rsidRDefault="00FC3511" w:rsidP="008275EC">
      <w:pPr>
        <w:pBdr>
          <w:top w:val="nil"/>
          <w:left w:val="nil"/>
          <w:bottom w:val="nil"/>
          <w:right w:val="nil"/>
          <w:between w:val="nil"/>
          <w:bar w:val="nil"/>
        </w:pBdr>
        <w:spacing w:before="200" w:after="200"/>
        <w:ind w:firstLine="0"/>
        <w:rPr>
          <w:rFonts w:eastAsia="Calibri"/>
          <w:szCs w:val="24"/>
          <w:lang w:val="el-GR"/>
        </w:rPr>
      </w:pPr>
      <w:r w:rsidRPr="008275EC">
        <w:rPr>
          <w:rFonts w:eastAsia="Calibri"/>
          <w:noProof/>
          <w:szCs w:val="24"/>
          <w:lang w:val="el-GR" w:eastAsia="el-GR"/>
        </w:rPr>
        <w:drawing>
          <wp:anchor distT="0" distB="0" distL="114300" distR="114300" simplePos="0" relativeHeight="251663360" behindDoc="0" locked="0" layoutInCell="1" allowOverlap="1" wp14:anchorId="35CEFE94" wp14:editId="35B22481">
            <wp:simplePos x="0" y="0"/>
            <wp:positionH relativeFrom="column">
              <wp:posOffset>-478022</wp:posOffset>
            </wp:positionH>
            <wp:positionV relativeFrom="paragraph">
              <wp:posOffset>399547</wp:posOffset>
            </wp:positionV>
            <wp:extent cx="6848475" cy="2466975"/>
            <wp:effectExtent l="0" t="0" r="9525" b="952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848475" cy="246697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354CA1C2" w14:textId="197052FD" w:rsidR="008275EC" w:rsidRPr="008275EC" w:rsidRDefault="003C3FF1" w:rsidP="003C3FF1">
      <w:pPr>
        <w:pBdr>
          <w:top w:val="nil"/>
          <w:left w:val="nil"/>
          <w:bottom w:val="nil"/>
          <w:right w:val="nil"/>
          <w:between w:val="nil"/>
          <w:bar w:val="nil"/>
        </w:pBdr>
        <w:spacing w:before="200" w:after="200"/>
        <w:ind w:firstLine="0"/>
        <w:rPr>
          <w:rFonts w:eastAsia="Calibri"/>
          <w:szCs w:val="24"/>
          <w:lang w:val="el-GR"/>
        </w:rPr>
      </w:pPr>
      <w:r>
        <w:rPr>
          <w:rFonts w:eastAsia="Arial Unicode MS"/>
          <w:b/>
          <w:bCs/>
          <w:szCs w:val="24"/>
          <w:bdr w:val="nil"/>
          <w:lang w:val="el-GR"/>
        </w:rPr>
        <w:t>Σχήμα</w:t>
      </w:r>
      <w:r w:rsidR="008275EC" w:rsidRPr="008275EC">
        <w:rPr>
          <w:rFonts w:eastAsia="Arial Unicode MS"/>
          <w:b/>
          <w:bCs/>
          <w:szCs w:val="24"/>
          <w:bdr w:val="nil"/>
          <w:lang w:val="el-GR"/>
        </w:rPr>
        <w:t xml:space="preserve"> 3α</w:t>
      </w:r>
      <w:r>
        <w:rPr>
          <w:rFonts w:eastAsia="Arial Unicode MS"/>
          <w:b/>
          <w:bCs/>
          <w:szCs w:val="24"/>
          <w:bdr w:val="nil"/>
          <w:lang w:val="el-GR"/>
        </w:rPr>
        <w:t>.</w:t>
      </w:r>
      <w:r w:rsidR="008275EC" w:rsidRPr="008275EC">
        <w:rPr>
          <w:rFonts w:eastAsia="Arial Unicode MS"/>
          <w:b/>
          <w:bCs/>
          <w:szCs w:val="24"/>
          <w:bdr w:val="nil"/>
          <w:lang w:val="el-GR"/>
        </w:rPr>
        <w:t xml:space="preserve"> </w:t>
      </w:r>
      <w:r>
        <w:rPr>
          <w:rFonts w:eastAsia="Arial Unicode MS"/>
          <w:szCs w:val="24"/>
          <w:bdr w:val="nil"/>
          <w:lang w:val="el-GR"/>
        </w:rPr>
        <w:t>Δείκτης</w:t>
      </w:r>
      <w:r w:rsidR="008275EC" w:rsidRPr="008275EC">
        <w:rPr>
          <w:rFonts w:eastAsia="Arial Unicode MS"/>
          <w:szCs w:val="24"/>
          <w:bdr w:val="nil"/>
          <w:lang w:val="el-GR"/>
        </w:rPr>
        <w:t xml:space="preserve"> </w:t>
      </w:r>
      <w:r w:rsidR="008275EC" w:rsidRPr="008275EC">
        <w:rPr>
          <w:rFonts w:eastAsia="Arial Unicode MS"/>
          <w:szCs w:val="24"/>
          <w:bdr w:val="nil"/>
        </w:rPr>
        <w:t>ROE</w:t>
      </w:r>
      <w:r w:rsidR="008275EC" w:rsidRPr="008275EC">
        <w:rPr>
          <w:rFonts w:eastAsia="Arial Unicode MS"/>
          <w:szCs w:val="24"/>
          <w:bdr w:val="nil"/>
          <w:lang w:val="el-GR"/>
        </w:rPr>
        <w:t xml:space="preserve"> – </w:t>
      </w:r>
      <w:r w:rsidRPr="008275EC">
        <w:rPr>
          <w:rFonts w:eastAsia="Calibri"/>
          <w:szCs w:val="24"/>
          <w:lang w:val="el-GR"/>
        </w:rPr>
        <w:t>Εθνικ</w:t>
      </w:r>
      <w:r>
        <w:rPr>
          <w:rFonts w:eastAsia="Calibri"/>
          <w:szCs w:val="24"/>
          <w:lang w:val="el-GR"/>
        </w:rPr>
        <w:t>ή</w:t>
      </w:r>
      <w:r w:rsidRPr="008275EC">
        <w:rPr>
          <w:rFonts w:eastAsia="Calibri"/>
          <w:szCs w:val="24"/>
          <w:lang w:val="el-GR"/>
        </w:rPr>
        <w:t xml:space="preserve"> Τρ</w:t>
      </w:r>
      <w:r>
        <w:rPr>
          <w:rFonts w:eastAsia="Calibri"/>
          <w:szCs w:val="24"/>
          <w:lang w:val="el-GR"/>
        </w:rPr>
        <w:t>ά</w:t>
      </w:r>
      <w:r w:rsidRPr="008275EC">
        <w:rPr>
          <w:rFonts w:eastAsia="Calibri"/>
          <w:szCs w:val="24"/>
          <w:lang w:val="el-GR"/>
        </w:rPr>
        <w:t xml:space="preserve">πεζα </w:t>
      </w:r>
      <w:r>
        <w:rPr>
          <w:rFonts w:eastAsia="Calibri"/>
          <w:szCs w:val="24"/>
          <w:lang w:val="el-GR"/>
        </w:rPr>
        <w:t>τ</w:t>
      </w:r>
      <w:r w:rsidRPr="008275EC">
        <w:rPr>
          <w:rFonts w:eastAsia="Calibri"/>
          <w:szCs w:val="24"/>
          <w:lang w:val="el-GR"/>
        </w:rPr>
        <w:t>ης Ελλ</w:t>
      </w:r>
      <w:r>
        <w:rPr>
          <w:rFonts w:eastAsia="Calibri"/>
          <w:szCs w:val="24"/>
          <w:lang w:val="el-GR"/>
        </w:rPr>
        <w:t>ά</w:t>
      </w:r>
      <w:r w:rsidRPr="008275EC">
        <w:rPr>
          <w:rFonts w:eastAsia="Calibri"/>
          <w:szCs w:val="24"/>
          <w:lang w:val="el-GR"/>
        </w:rPr>
        <w:t>δος</w:t>
      </w:r>
      <w:bookmarkStart w:id="63" w:name="_Hlk84845255"/>
      <w:r>
        <w:rPr>
          <w:rFonts w:eastAsia="Calibri"/>
          <w:szCs w:val="24"/>
          <w:lang w:val="el-GR"/>
        </w:rPr>
        <w:t xml:space="preserve"> (</w:t>
      </w:r>
      <w:r w:rsidR="008275EC" w:rsidRPr="008275EC">
        <w:rPr>
          <w:rFonts w:eastAsia="Calibri"/>
          <w:szCs w:val="24"/>
          <w:lang w:val="el-GR"/>
        </w:rPr>
        <w:t xml:space="preserve">Πηγή: Το διάγραμμα δημιουργήθηκε στο </w:t>
      </w:r>
      <w:r w:rsidR="008275EC" w:rsidRPr="008275EC">
        <w:rPr>
          <w:rFonts w:eastAsia="Calibri"/>
          <w:szCs w:val="24"/>
          <w:lang w:val="en-GB"/>
        </w:rPr>
        <w:t>Microsoft</w:t>
      </w:r>
      <w:r w:rsidR="008275EC" w:rsidRPr="008275EC">
        <w:rPr>
          <w:rFonts w:eastAsia="Calibri"/>
          <w:szCs w:val="24"/>
          <w:lang w:val="el-GR"/>
        </w:rPr>
        <w:t xml:space="preserve"> </w:t>
      </w:r>
      <w:r w:rsidR="008275EC" w:rsidRPr="008275EC">
        <w:rPr>
          <w:rFonts w:eastAsia="Calibri"/>
          <w:szCs w:val="24"/>
          <w:lang w:val="en-GB"/>
        </w:rPr>
        <w:t>Office</w:t>
      </w:r>
      <w:r w:rsidR="008275EC" w:rsidRPr="008275EC">
        <w:rPr>
          <w:rFonts w:eastAsia="Calibri"/>
          <w:szCs w:val="24"/>
          <w:lang w:val="el-GR"/>
        </w:rPr>
        <w:t xml:space="preserve"> </w:t>
      </w:r>
      <w:r w:rsidR="008275EC" w:rsidRPr="008275EC">
        <w:rPr>
          <w:rFonts w:eastAsia="Calibri"/>
          <w:szCs w:val="24"/>
          <w:lang w:val="en-GB"/>
        </w:rPr>
        <w:t>excel</w:t>
      </w:r>
      <w:r w:rsidR="008275EC" w:rsidRPr="008275EC">
        <w:rPr>
          <w:rFonts w:eastAsia="Calibri"/>
          <w:szCs w:val="24"/>
          <w:lang w:val="el-GR"/>
        </w:rPr>
        <w:t xml:space="preserve"> από τον συγγραφέα</w:t>
      </w:r>
      <w:r>
        <w:rPr>
          <w:rFonts w:eastAsia="Calibri"/>
          <w:szCs w:val="24"/>
          <w:lang w:val="el-GR"/>
        </w:rPr>
        <w:t>)</w:t>
      </w:r>
      <w:r w:rsidR="008275EC" w:rsidRPr="008275EC">
        <w:rPr>
          <w:rFonts w:eastAsia="Calibri"/>
          <w:szCs w:val="24"/>
          <w:lang w:val="el-GR"/>
        </w:rPr>
        <w:t>.</w:t>
      </w:r>
    </w:p>
    <w:bookmarkEnd w:id="63"/>
    <w:p w14:paraId="7A5AC125" w14:textId="74A78F3F" w:rsidR="008275EC" w:rsidRPr="008275EC" w:rsidRDefault="00A54E47" w:rsidP="003C3FF1">
      <w:pPr>
        <w:pBdr>
          <w:top w:val="nil"/>
          <w:left w:val="nil"/>
          <w:bottom w:val="nil"/>
          <w:right w:val="nil"/>
          <w:between w:val="nil"/>
          <w:bar w:val="nil"/>
        </w:pBdr>
        <w:spacing w:before="200" w:after="200"/>
        <w:ind w:firstLine="0"/>
        <w:rPr>
          <w:rFonts w:eastAsia="Arial Unicode MS"/>
          <w:b/>
          <w:bCs/>
          <w:szCs w:val="24"/>
          <w:bdr w:val="nil"/>
          <w:lang w:val="el-GR"/>
        </w:rPr>
      </w:pPr>
      <w:r w:rsidRPr="008275EC">
        <w:rPr>
          <w:rFonts w:eastAsia="Calibri"/>
          <w:noProof/>
          <w:sz w:val="20"/>
          <w:lang w:val="el-GR" w:eastAsia="el-GR"/>
        </w:rPr>
        <w:lastRenderedPageBreak/>
        <w:drawing>
          <wp:anchor distT="0" distB="0" distL="114300" distR="114300" simplePos="0" relativeHeight="251664384" behindDoc="0" locked="0" layoutInCell="1" allowOverlap="1" wp14:anchorId="3C776A8B" wp14:editId="0BF101ED">
            <wp:simplePos x="0" y="0"/>
            <wp:positionH relativeFrom="margin">
              <wp:align>center</wp:align>
            </wp:positionH>
            <wp:positionV relativeFrom="paragraph">
              <wp:posOffset>1477</wp:posOffset>
            </wp:positionV>
            <wp:extent cx="6791325" cy="2352675"/>
            <wp:effectExtent l="0" t="0" r="9525" b="952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791325" cy="235267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r w:rsidR="003C3FF1">
        <w:rPr>
          <w:rFonts w:eastAsia="Arial Unicode MS"/>
          <w:b/>
          <w:bCs/>
          <w:szCs w:val="24"/>
          <w:bdr w:val="nil"/>
          <w:lang w:val="el-GR"/>
        </w:rPr>
        <w:t>Σχήμα</w:t>
      </w:r>
      <w:r w:rsidR="008275EC" w:rsidRPr="008275EC">
        <w:rPr>
          <w:rFonts w:eastAsia="Arial Unicode MS"/>
          <w:b/>
          <w:bCs/>
          <w:szCs w:val="24"/>
          <w:bdr w:val="nil"/>
          <w:lang w:val="el-GR"/>
        </w:rPr>
        <w:t xml:space="preserve"> 3β</w:t>
      </w:r>
      <w:r w:rsidR="003C3FF1">
        <w:rPr>
          <w:rFonts w:eastAsia="Arial Unicode MS"/>
          <w:b/>
          <w:bCs/>
          <w:szCs w:val="24"/>
          <w:bdr w:val="nil"/>
          <w:lang w:val="el-GR"/>
        </w:rPr>
        <w:t>.</w:t>
      </w:r>
      <w:r w:rsidR="008275EC" w:rsidRPr="008275EC">
        <w:rPr>
          <w:rFonts w:eastAsia="Arial Unicode MS"/>
          <w:b/>
          <w:bCs/>
          <w:szCs w:val="24"/>
          <w:bdr w:val="nil"/>
          <w:lang w:val="el-GR"/>
        </w:rPr>
        <w:t xml:space="preserve"> </w:t>
      </w:r>
      <w:r w:rsidR="003C3FF1" w:rsidRPr="008275EC">
        <w:rPr>
          <w:rFonts w:eastAsia="Arial Unicode MS"/>
          <w:szCs w:val="24"/>
          <w:bdr w:val="nil"/>
          <w:lang w:val="el-GR"/>
        </w:rPr>
        <w:t>Ποσοστια</w:t>
      </w:r>
      <w:r w:rsidR="003C3FF1">
        <w:rPr>
          <w:rFonts w:eastAsia="Arial Unicode MS"/>
          <w:szCs w:val="24"/>
          <w:bdr w:val="nil"/>
          <w:lang w:val="el-GR"/>
        </w:rPr>
        <w:t>ί</w:t>
      </w:r>
      <w:r w:rsidR="003C3FF1" w:rsidRPr="008275EC">
        <w:rPr>
          <w:rFonts w:eastAsia="Arial Unicode MS"/>
          <w:szCs w:val="24"/>
          <w:bdr w:val="nil"/>
          <w:lang w:val="el-GR"/>
        </w:rPr>
        <w:t>ες Μεταβολ</w:t>
      </w:r>
      <w:r w:rsidR="003C3FF1">
        <w:rPr>
          <w:rFonts w:eastAsia="Arial Unicode MS"/>
          <w:szCs w:val="24"/>
          <w:bdr w:val="nil"/>
          <w:lang w:val="el-GR"/>
        </w:rPr>
        <w:t>έ</w:t>
      </w:r>
      <w:r w:rsidR="003C3FF1" w:rsidRPr="008275EC">
        <w:rPr>
          <w:rFonts w:eastAsia="Arial Unicode MS"/>
          <w:szCs w:val="24"/>
          <w:bdr w:val="nil"/>
          <w:lang w:val="el-GR"/>
        </w:rPr>
        <w:t>ς Δε</w:t>
      </w:r>
      <w:r w:rsidR="003C3FF1">
        <w:rPr>
          <w:rFonts w:eastAsia="Arial Unicode MS"/>
          <w:szCs w:val="24"/>
          <w:bdr w:val="nil"/>
          <w:lang w:val="el-GR"/>
        </w:rPr>
        <w:t>ί</w:t>
      </w:r>
      <w:r w:rsidR="003C3FF1" w:rsidRPr="008275EC">
        <w:rPr>
          <w:rFonts w:eastAsia="Arial Unicode MS"/>
          <w:szCs w:val="24"/>
          <w:bdr w:val="nil"/>
          <w:lang w:val="el-GR"/>
        </w:rPr>
        <w:t xml:space="preserve">κτη </w:t>
      </w:r>
      <w:r w:rsidR="008275EC" w:rsidRPr="008275EC">
        <w:rPr>
          <w:rFonts w:eastAsia="Arial Unicode MS"/>
          <w:szCs w:val="24"/>
          <w:bdr w:val="nil"/>
        </w:rPr>
        <w:t>ROE</w:t>
      </w:r>
      <w:r w:rsidR="008275EC" w:rsidRPr="008275EC">
        <w:rPr>
          <w:rFonts w:eastAsia="Arial Unicode MS"/>
          <w:szCs w:val="24"/>
          <w:bdr w:val="nil"/>
          <w:lang w:val="el-GR"/>
        </w:rPr>
        <w:t xml:space="preserve"> – </w:t>
      </w:r>
      <w:r w:rsidR="003C3FF1" w:rsidRPr="008275EC">
        <w:rPr>
          <w:rFonts w:eastAsia="Calibri"/>
          <w:szCs w:val="24"/>
          <w:lang w:val="el-GR"/>
        </w:rPr>
        <w:t>Εθνικ</w:t>
      </w:r>
      <w:r w:rsidR="003C3FF1">
        <w:rPr>
          <w:rFonts w:eastAsia="Calibri"/>
          <w:szCs w:val="24"/>
          <w:lang w:val="el-GR"/>
        </w:rPr>
        <w:t>ή</w:t>
      </w:r>
      <w:r w:rsidR="003C3FF1" w:rsidRPr="008275EC">
        <w:rPr>
          <w:rFonts w:eastAsia="Calibri"/>
          <w:szCs w:val="24"/>
          <w:lang w:val="el-GR"/>
        </w:rPr>
        <w:t xml:space="preserve"> Τρ</w:t>
      </w:r>
      <w:r w:rsidR="003C3FF1">
        <w:rPr>
          <w:rFonts w:eastAsia="Calibri"/>
          <w:szCs w:val="24"/>
          <w:lang w:val="el-GR"/>
        </w:rPr>
        <w:t>ά</w:t>
      </w:r>
      <w:r w:rsidR="003C3FF1" w:rsidRPr="008275EC">
        <w:rPr>
          <w:rFonts w:eastAsia="Calibri"/>
          <w:szCs w:val="24"/>
          <w:lang w:val="el-GR"/>
        </w:rPr>
        <w:t xml:space="preserve">πεζα </w:t>
      </w:r>
      <w:r w:rsidR="003C3FF1">
        <w:rPr>
          <w:rFonts w:eastAsia="Calibri"/>
          <w:szCs w:val="24"/>
          <w:lang w:val="el-GR"/>
        </w:rPr>
        <w:t>τ</w:t>
      </w:r>
      <w:r w:rsidR="003C3FF1" w:rsidRPr="008275EC">
        <w:rPr>
          <w:rFonts w:eastAsia="Calibri"/>
          <w:szCs w:val="24"/>
          <w:lang w:val="el-GR"/>
        </w:rPr>
        <w:t>ης Ελλ</w:t>
      </w:r>
      <w:r w:rsidR="003C3FF1">
        <w:rPr>
          <w:rFonts w:eastAsia="Calibri"/>
          <w:szCs w:val="24"/>
          <w:lang w:val="el-GR"/>
        </w:rPr>
        <w:t>ά</w:t>
      </w:r>
      <w:r w:rsidR="003C3FF1" w:rsidRPr="008275EC">
        <w:rPr>
          <w:rFonts w:eastAsia="Calibri"/>
          <w:szCs w:val="24"/>
          <w:lang w:val="el-GR"/>
        </w:rPr>
        <w:t>δος</w:t>
      </w:r>
      <w:bookmarkStart w:id="64" w:name="_Hlk84854608"/>
      <w:r w:rsidR="003C3FF1">
        <w:rPr>
          <w:rFonts w:eastAsia="Arial Unicode MS"/>
          <w:b/>
          <w:bCs/>
          <w:szCs w:val="24"/>
          <w:bdr w:val="nil"/>
          <w:lang w:val="el-GR"/>
        </w:rPr>
        <w:t xml:space="preserve"> (</w:t>
      </w:r>
      <w:r w:rsidR="008275EC" w:rsidRPr="008275EC">
        <w:rPr>
          <w:rFonts w:eastAsia="Calibri"/>
          <w:szCs w:val="24"/>
          <w:lang w:val="el-GR"/>
        </w:rPr>
        <w:t xml:space="preserve">Πηγή: Το διάγραμμα δημιουργήθηκε στο </w:t>
      </w:r>
      <w:r w:rsidR="008275EC" w:rsidRPr="008275EC">
        <w:rPr>
          <w:rFonts w:eastAsia="Calibri"/>
          <w:szCs w:val="24"/>
          <w:lang w:val="en-GB"/>
        </w:rPr>
        <w:t>Microsoft</w:t>
      </w:r>
      <w:r w:rsidR="008275EC" w:rsidRPr="008275EC">
        <w:rPr>
          <w:rFonts w:eastAsia="Calibri"/>
          <w:szCs w:val="24"/>
          <w:lang w:val="el-GR"/>
        </w:rPr>
        <w:t xml:space="preserve"> </w:t>
      </w:r>
      <w:r w:rsidR="008275EC" w:rsidRPr="008275EC">
        <w:rPr>
          <w:rFonts w:eastAsia="Calibri"/>
          <w:szCs w:val="24"/>
          <w:lang w:val="en-GB"/>
        </w:rPr>
        <w:t>Office</w:t>
      </w:r>
      <w:r w:rsidR="008275EC" w:rsidRPr="008275EC">
        <w:rPr>
          <w:rFonts w:eastAsia="Calibri"/>
          <w:szCs w:val="24"/>
          <w:lang w:val="el-GR"/>
        </w:rPr>
        <w:t xml:space="preserve"> </w:t>
      </w:r>
      <w:r w:rsidR="008275EC" w:rsidRPr="008275EC">
        <w:rPr>
          <w:rFonts w:eastAsia="Calibri"/>
          <w:szCs w:val="24"/>
          <w:lang w:val="en-GB"/>
        </w:rPr>
        <w:t>excel</w:t>
      </w:r>
      <w:r w:rsidR="008275EC" w:rsidRPr="008275EC">
        <w:rPr>
          <w:rFonts w:eastAsia="Calibri"/>
          <w:szCs w:val="24"/>
          <w:lang w:val="el-GR"/>
        </w:rPr>
        <w:t xml:space="preserve"> από τον συγγραφέα</w:t>
      </w:r>
      <w:r w:rsidR="003C3FF1">
        <w:rPr>
          <w:rFonts w:eastAsia="Calibri"/>
          <w:szCs w:val="24"/>
          <w:lang w:val="el-GR"/>
        </w:rPr>
        <w:t>)</w:t>
      </w:r>
      <w:r w:rsidR="008275EC" w:rsidRPr="008275EC">
        <w:rPr>
          <w:rFonts w:eastAsia="Calibri"/>
          <w:szCs w:val="24"/>
          <w:lang w:val="el-GR"/>
        </w:rPr>
        <w:t>.</w:t>
      </w:r>
    </w:p>
    <w:bookmarkEnd w:id="64"/>
    <w:p w14:paraId="06B08FC5"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425E6C54" w14:textId="77777777" w:rsidR="00A54E47" w:rsidRDefault="008275EC" w:rsidP="00A54E47">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Ακολούθως, κατά τη διάρκεια της υπό εξέταση περιόδους (2005 – 2020), το σύνολο του ενεργητικού της Εθνικής Τράπεζας αυξήθηκε από 60.426.560.000 € (το 2005) σε 77.485.000.000 € (το 2020), αύξηση σχεδόν 30%. Οι συνολικές υποχρεώσεις της τράπεζας αυξήθηκαν από 56.110.152.000 € (το 2005) σε 72.406.000.000 € (το 2020), αύξηση περίπου 31%. Από ότι φαίνεται, οι συνολικές υποχρεώσεις της Εθνικής Τράπεζας αυξήθηκαν ελαφρώς περισσότερο από το σύνολο των περιουσιακών της στοιχείων. Ακόμη, η αύξηση των συνολικών υποχρεώσεων οδηγήθηκε από την αύξηση των βραχυπρόθεσμων υποχρεώσεων, κατά 35% περίπου (από 48.888.965.000 € το 2005, σε 65.459.000.000 € το 2020). Ωστόσο, στο σύνολο της υπό εξέταση περιόδου, τα ίδια κεφάλαια της Εθνικής Τράπεζας δεν είχαν μεγάλη αύξηση, από 4.316.408.000 € (2005) σε 5.079.000.000 € (2020), αύξηση περίπου 17%.</w:t>
      </w:r>
      <w:bookmarkStart w:id="65" w:name="_Hlk84864127"/>
    </w:p>
    <w:p w14:paraId="0BD75399" w14:textId="2774AEB0" w:rsidR="008275EC" w:rsidRPr="008275EC" w:rsidRDefault="008275EC" w:rsidP="00A54E47">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Σχετικά, με την τιμή της μετοχής της Εθνικής Τράπεζας, αυτή έχει υποστεί μια τεράστια μείωση τα τελευταία χρόνια. Πλέον, η τιμή της μετοχής της Εθνικής Τράπεζας είναι περίπου 3 €. Το 2005, η τιμή της μετοχής ήταν περίπου 13.000 €, και συνέχιζε να αυξάνεται μέχρι το 2008 (26.500 €). Από εκείνα τα χρόνια και ύστερα άρχισαν οι μειώσεις, ενώ, η τράπεζα δεν κατάφερε να ανακτήσει τις τιμές της μετοχής που είχε πριν την κρίση. </w:t>
      </w:r>
    </w:p>
    <w:bookmarkEnd w:id="65"/>
    <w:p w14:paraId="5EAED565"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71E95430" w14:textId="516B2FF6" w:rsidR="008275EC" w:rsidRPr="008275EC" w:rsidRDefault="008275EC" w:rsidP="00615C9C">
      <w:pPr>
        <w:pBdr>
          <w:top w:val="nil"/>
          <w:left w:val="nil"/>
          <w:bottom w:val="nil"/>
          <w:right w:val="nil"/>
          <w:between w:val="nil"/>
          <w:bar w:val="nil"/>
        </w:pBdr>
        <w:spacing w:before="200" w:after="200"/>
        <w:ind w:firstLine="0"/>
        <w:rPr>
          <w:rFonts w:eastAsia="Calibri"/>
          <w:b/>
          <w:bCs/>
          <w:szCs w:val="24"/>
          <w:lang w:val="el-GR"/>
        </w:rPr>
      </w:pPr>
      <w:r w:rsidRPr="008275EC">
        <w:rPr>
          <w:rFonts w:eastAsia="Calibri"/>
          <w:noProof/>
          <w:szCs w:val="24"/>
          <w:lang w:val="el-GR" w:eastAsia="el-GR"/>
        </w:rPr>
        <w:lastRenderedPageBreak/>
        <w:drawing>
          <wp:anchor distT="0" distB="0" distL="114300" distR="114300" simplePos="0" relativeHeight="251665408" behindDoc="0" locked="0" layoutInCell="1" allowOverlap="1" wp14:anchorId="2CEC5EE9" wp14:editId="7186A0F4">
            <wp:simplePos x="0" y="0"/>
            <wp:positionH relativeFrom="margin">
              <wp:align>center</wp:align>
            </wp:positionH>
            <wp:positionV relativeFrom="paragraph">
              <wp:posOffset>21457</wp:posOffset>
            </wp:positionV>
            <wp:extent cx="6867525" cy="2314575"/>
            <wp:effectExtent l="19050" t="19050" r="28575" b="2857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867525" cy="2314575"/>
                    </a:xfrm>
                    <a:prstGeom prst="roundRect">
                      <a:avLst>
                        <a:gd name="adj" fmla="val 8594"/>
                      </a:avLst>
                    </a:prstGeom>
                    <a:solidFill>
                      <a:srgbClr val="FFFFFF">
                        <a:shade val="85000"/>
                      </a:srgbClr>
                    </a:solidFill>
                    <a:ln>
                      <a:solidFill>
                        <a:srgbClr val="000000"/>
                      </a:solidFill>
                    </a:ln>
                    <a:effectLst/>
                  </pic:spPr>
                </pic:pic>
              </a:graphicData>
            </a:graphic>
            <wp14:sizeRelH relativeFrom="page">
              <wp14:pctWidth>0</wp14:pctWidth>
            </wp14:sizeRelH>
            <wp14:sizeRelV relativeFrom="page">
              <wp14:pctHeight>0</wp14:pctHeight>
            </wp14:sizeRelV>
          </wp:anchor>
        </w:drawing>
      </w:r>
      <w:r w:rsidR="00615C9C">
        <w:rPr>
          <w:rFonts w:eastAsia="Calibri"/>
          <w:b/>
          <w:bCs/>
          <w:szCs w:val="24"/>
          <w:lang w:val="el-GR"/>
        </w:rPr>
        <w:t>Σχήμα</w:t>
      </w:r>
      <w:r w:rsidRPr="008275EC">
        <w:rPr>
          <w:rFonts w:eastAsia="Calibri"/>
          <w:b/>
          <w:bCs/>
          <w:szCs w:val="24"/>
          <w:lang w:val="el-GR"/>
        </w:rPr>
        <w:t xml:space="preserve"> 4</w:t>
      </w:r>
      <w:r w:rsidR="00615C9C">
        <w:rPr>
          <w:rFonts w:eastAsia="Calibri"/>
          <w:b/>
          <w:bCs/>
          <w:szCs w:val="24"/>
          <w:lang w:val="el-GR"/>
        </w:rPr>
        <w:t>.</w:t>
      </w:r>
      <w:r w:rsidRPr="008275EC">
        <w:rPr>
          <w:rFonts w:eastAsia="Calibri"/>
          <w:b/>
          <w:bCs/>
          <w:szCs w:val="24"/>
          <w:lang w:val="el-GR"/>
        </w:rPr>
        <w:t xml:space="preserve"> </w:t>
      </w:r>
      <w:r w:rsidR="00615C9C" w:rsidRPr="008275EC">
        <w:rPr>
          <w:rFonts w:eastAsia="Calibri"/>
          <w:szCs w:val="24"/>
          <w:lang w:val="el-GR"/>
        </w:rPr>
        <w:t>Τιμ</w:t>
      </w:r>
      <w:r w:rsidR="00615C9C">
        <w:rPr>
          <w:rFonts w:eastAsia="Calibri"/>
          <w:szCs w:val="24"/>
          <w:lang w:val="el-GR"/>
        </w:rPr>
        <w:t>ή</w:t>
      </w:r>
      <w:r w:rsidR="00615C9C" w:rsidRPr="008275EC">
        <w:rPr>
          <w:rFonts w:eastAsia="Calibri"/>
          <w:szCs w:val="24"/>
          <w:lang w:val="el-GR"/>
        </w:rPr>
        <w:t xml:space="preserve"> Μετοχής (2005 </w:t>
      </w:r>
      <w:r w:rsidR="004B238A">
        <w:rPr>
          <w:rFonts w:eastAsia="Calibri"/>
          <w:szCs w:val="24"/>
          <w:lang w:val="el-GR"/>
        </w:rPr>
        <w:t>έως</w:t>
      </w:r>
      <w:r w:rsidR="00615C9C" w:rsidRPr="008275EC">
        <w:rPr>
          <w:rFonts w:eastAsia="Calibri"/>
          <w:szCs w:val="24"/>
          <w:lang w:val="el-GR"/>
        </w:rPr>
        <w:t xml:space="preserve"> 2020</w:t>
      </w:r>
      <w:r w:rsidRPr="008275EC">
        <w:rPr>
          <w:rFonts w:eastAsia="Calibri"/>
          <w:szCs w:val="24"/>
          <w:lang w:val="el-GR"/>
        </w:rPr>
        <w:t xml:space="preserve">) – </w:t>
      </w:r>
      <w:r w:rsidR="00615C9C" w:rsidRPr="008275EC">
        <w:rPr>
          <w:rFonts w:eastAsia="Calibri"/>
          <w:szCs w:val="24"/>
          <w:lang w:val="el-GR"/>
        </w:rPr>
        <w:t>Εθνικ</w:t>
      </w:r>
      <w:r w:rsidR="00615C9C">
        <w:rPr>
          <w:rFonts w:eastAsia="Calibri"/>
          <w:szCs w:val="24"/>
          <w:lang w:val="el-GR"/>
        </w:rPr>
        <w:t>ή</w:t>
      </w:r>
      <w:r w:rsidR="00615C9C" w:rsidRPr="008275EC">
        <w:rPr>
          <w:rFonts w:eastAsia="Calibri"/>
          <w:szCs w:val="24"/>
          <w:lang w:val="el-GR"/>
        </w:rPr>
        <w:t xml:space="preserve"> Τρ</w:t>
      </w:r>
      <w:r w:rsidR="00615C9C">
        <w:rPr>
          <w:rFonts w:eastAsia="Calibri"/>
          <w:szCs w:val="24"/>
          <w:lang w:val="el-GR"/>
        </w:rPr>
        <w:t>ά</w:t>
      </w:r>
      <w:r w:rsidR="00615C9C" w:rsidRPr="008275EC">
        <w:rPr>
          <w:rFonts w:eastAsia="Calibri"/>
          <w:szCs w:val="24"/>
          <w:lang w:val="el-GR"/>
        </w:rPr>
        <w:t xml:space="preserve">πεζα </w:t>
      </w:r>
      <w:r w:rsidR="00615C9C">
        <w:rPr>
          <w:rFonts w:eastAsia="Calibri"/>
          <w:szCs w:val="24"/>
          <w:lang w:val="el-GR"/>
        </w:rPr>
        <w:t>τ</w:t>
      </w:r>
      <w:r w:rsidR="00615C9C" w:rsidRPr="008275EC">
        <w:rPr>
          <w:rFonts w:eastAsia="Calibri"/>
          <w:szCs w:val="24"/>
          <w:lang w:val="el-GR"/>
        </w:rPr>
        <w:t>ης Ελλ</w:t>
      </w:r>
      <w:r w:rsidR="00615C9C">
        <w:rPr>
          <w:rFonts w:eastAsia="Calibri"/>
          <w:szCs w:val="24"/>
          <w:lang w:val="el-GR"/>
        </w:rPr>
        <w:t>ά</w:t>
      </w:r>
      <w:r w:rsidR="00615C9C" w:rsidRPr="008275EC">
        <w:rPr>
          <w:rFonts w:eastAsia="Calibri"/>
          <w:szCs w:val="24"/>
          <w:lang w:val="el-GR"/>
        </w:rPr>
        <w:t>δος</w:t>
      </w:r>
      <w:r w:rsidR="00615C9C">
        <w:rPr>
          <w:rFonts w:eastAsia="Calibri"/>
          <w:b/>
          <w:bCs/>
          <w:szCs w:val="24"/>
          <w:lang w:val="el-GR"/>
        </w:rPr>
        <w:t xml:space="preserve"> [</w:t>
      </w:r>
      <w:r w:rsidRPr="008275EC">
        <w:rPr>
          <w:rFonts w:eastAsia="Calibri"/>
          <w:szCs w:val="24"/>
          <w:lang w:val="el-GR"/>
        </w:rPr>
        <w:t>Πηγή: (capital.gr, 2021)</w:t>
      </w:r>
      <w:r w:rsidR="00615C9C">
        <w:rPr>
          <w:rFonts w:eastAsia="Calibri"/>
          <w:szCs w:val="24"/>
          <w:lang w:val="el-GR"/>
        </w:rPr>
        <w:t>].</w:t>
      </w:r>
    </w:p>
    <w:p w14:paraId="6EABFDFF"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573C174C" w14:textId="7FF5789B" w:rsidR="008275EC" w:rsidRPr="008275EC" w:rsidRDefault="00152E4A" w:rsidP="00152E4A">
      <w:pPr>
        <w:pBdr>
          <w:top w:val="nil"/>
          <w:left w:val="nil"/>
          <w:bottom w:val="nil"/>
          <w:right w:val="nil"/>
          <w:between w:val="nil"/>
          <w:bar w:val="nil"/>
        </w:pBdr>
        <w:spacing w:before="200" w:after="200"/>
        <w:ind w:firstLine="0"/>
        <w:jc w:val="center"/>
        <w:rPr>
          <w:rFonts w:eastAsia="Calibri"/>
          <w:szCs w:val="24"/>
          <w:lang w:val="el-GR"/>
        </w:rPr>
      </w:pPr>
      <w:r w:rsidRPr="00152E4A">
        <w:rPr>
          <w:rFonts w:eastAsia="Calibri"/>
          <w:szCs w:val="24"/>
          <w:lang w:val="el-GR"/>
        </w:rPr>
        <w:t>4</w:t>
      </w:r>
      <w:r w:rsidR="008275EC" w:rsidRPr="008275EC">
        <w:rPr>
          <w:rFonts w:eastAsia="Calibri"/>
          <w:szCs w:val="24"/>
          <w:lang w:val="el-GR"/>
        </w:rPr>
        <w:t xml:space="preserve">.1.2. </w:t>
      </w:r>
      <w:bookmarkStart w:id="66" w:name="_Hlk84854410"/>
      <w:r w:rsidR="008275EC" w:rsidRPr="008275EC">
        <w:rPr>
          <w:rFonts w:eastAsia="Calibri"/>
          <w:szCs w:val="24"/>
          <w:lang w:val="el-GR"/>
        </w:rPr>
        <w:t xml:space="preserve">ΤΡΑΠΕΖΑ </w:t>
      </w:r>
      <w:r w:rsidR="008275EC" w:rsidRPr="008275EC">
        <w:rPr>
          <w:rFonts w:eastAsia="Calibri"/>
          <w:szCs w:val="24"/>
        </w:rPr>
        <w:t>EUROBANK</w:t>
      </w:r>
      <w:r w:rsidR="008275EC" w:rsidRPr="008275EC">
        <w:rPr>
          <w:rFonts w:eastAsia="Calibri"/>
          <w:szCs w:val="24"/>
          <w:lang w:val="el-GR"/>
        </w:rPr>
        <w:t xml:space="preserve"> </w:t>
      </w:r>
      <w:r w:rsidR="008275EC" w:rsidRPr="008275EC">
        <w:rPr>
          <w:rFonts w:eastAsia="Calibri"/>
          <w:szCs w:val="24"/>
        </w:rPr>
        <w:t>ERGASIAS</w:t>
      </w:r>
      <w:bookmarkEnd w:id="66"/>
    </w:p>
    <w:p w14:paraId="37569B99" w14:textId="77777777" w:rsidR="008275EC" w:rsidRPr="008275EC" w:rsidRDefault="008275EC" w:rsidP="00152E4A">
      <w:pPr>
        <w:spacing w:before="200" w:after="200"/>
        <w:ind w:firstLine="709"/>
        <w:rPr>
          <w:rFonts w:eastAsia="Calibri"/>
          <w:szCs w:val="24"/>
          <w:lang w:val="el-GR"/>
        </w:rPr>
      </w:pPr>
      <w:r w:rsidRPr="008275EC">
        <w:rPr>
          <w:rFonts w:eastAsia="Calibri"/>
          <w:szCs w:val="24"/>
          <w:lang w:val="el-GR"/>
        </w:rPr>
        <w:t xml:space="preserve">Όσον αφορά τη Τράπεζα </w:t>
      </w:r>
      <w:r w:rsidRPr="008275EC">
        <w:rPr>
          <w:rFonts w:eastAsia="Calibri"/>
          <w:szCs w:val="24"/>
        </w:rPr>
        <w:t>Eurobank</w:t>
      </w:r>
      <w:r w:rsidRPr="008275EC">
        <w:rPr>
          <w:rFonts w:eastAsia="Calibri"/>
          <w:szCs w:val="24"/>
          <w:lang w:val="el-GR"/>
        </w:rPr>
        <w:t xml:space="preserve"> </w:t>
      </w:r>
      <w:r w:rsidRPr="008275EC">
        <w:rPr>
          <w:rFonts w:eastAsia="Calibri"/>
          <w:szCs w:val="24"/>
        </w:rPr>
        <w:t>Ergasias</w:t>
      </w:r>
      <w:r w:rsidRPr="008275EC">
        <w:rPr>
          <w:rFonts w:eastAsia="Calibri"/>
          <w:szCs w:val="24"/>
          <w:lang w:val="el-GR"/>
        </w:rPr>
        <w:t xml:space="preserve">, κατά την εξεταζόμενη περίοδο (2005 – 2020), έχει και εκείνη μεταβολές στα κέρδη της. Το 2020, η τράπεζα είχε ζημιές ύψους 1.213.000.000 € (μείωση περίπου 1.000%, σε σχέση με το 2019, όπου η </w:t>
      </w:r>
      <w:r w:rsidRPr="008275EC">
        <w:rPr>
          <w:rFonts w:eastAsia="Calibri"/>
          <w:szCs w:val="24"/>
        </w:rPr>
        <w:t>Eurobank</w:t>
      </w:r>
      <w:r w:rsidRPr="008275EC">
        <w:rPr>
          <w:rFonts w:eastAsia="Calibri"/>
          <w:szCs w:val="24"/>
          <w:lang w:val="el-GR"/>
        </w:rPr>
        <w:t xml:space="preserve"> εμφάνισε κέρδη 129.000.000 €). Πριν από την εμφάνιση της οικονομικής κρίσης, η τράπεζα </w:t>
      </w:r>
      <w:r w:rsidRPr="008275EC">
        <w:rPr>
          <w:rFonts w:eastAsia="Calibri"/>
          <w:szCs w:val="24"/>
        </w:rPr>
        <w:t>Eurobank</w:t>
      </w:r>
      <w:r w:rsidRPr="008275EC">
        <w:rPr>
          <w:rFonts w:eastAsia="Calibri"/>
          <w:szCs w:val="24"/>
          <w:lang w:val="el-GR"/>
        </w:rPr>
        <w:t xml:space="preserve"> εμφάνιζε κέρδη. Το 2005, εμφάνισε 434.000.000 € κέρδη. Το ποσό αυτό συνέχισε να αυξάνεται έως το 2007, αγγίζοντας τα 677.000.000 €. Στη συνέχεια, επηρεασμένη από την οικονομική κρίση, η </w:t>
      </w:r>
      <w:r w:rsidRPr="008275EC">
        <w:rPr>
          <w:rFonts w:eastAsia="Calibri"/>
          <w:szCs w:val="24"/>
        </w:rPr>
        <w:t>Eurobank</w:t>
      </w:r>
      <w:r w:rsidRPr="008275EC">
        <w:rPr>
          <w:rFonts w:eastAsia="Calibri"/>
          <w:szCs w:val="24"/>
          <w:lang w:val="el-GR"/>
        </w:rPr>
        <w:t xml:space="preserve"> παρουσίασε μείωση των κερδών της, φθάνοντας τα 84.000.000 €, το 2010. Όμως, τα επόμενα χρόνια, με το ξέσπασμα της κρίσης, η τράπεζα παρουσίασε συνεχώς ζημιές, μέχρι και το 2015. Η χειρότερη χρονιά ήταν το 2011, όπου παρουσίασε ζημιές ύψους 5.496.000.000 € (μείωση κατά περίπου 6.650%, σε σύγκριση με την κερδοφόρα χρονιά του 2010). Το αξιοσημείωτο είναι ότι τα χρόνια αμέσως μετά την επιβολή των </w:t>
      </w:r>
      <w:r w:rsidRPr="008275EC">
        <w:rPr>
          <w:rFonts w:eastAsia="Calibri"/>
          <w:szCs w:val="24"/>
        </w:rPr>
        <w:t>capital</w:t>
      </w:r>
      <w:r w:rsidRPr="008275EC">
        <w:rPr>
          <w:rFonts w:eastAsia="Calibri"/>
          <w:szCs w:val="24"/>
          <w:lang w:val="el-GR"/>
        </w:rPr>
        <w:t xml:space="preserve"> </w:t>
      </w:r>
      <w:r w:rsidRPr="008275EC">
        <w:rPr>
          <w:rFonts w:eastAsia="Calibri"/>
          <w:szCs w:val="24"/>
        </w:rPr>
        <w:t>controls</w:t>
      </w:r>
      <w:r w:rsidRPr="008275EC">
        <w:rPr>
          <w:rFonts w:eastAsia="Calibri"/>
          <w:szCs w:val="24"/>
          <w:lang w:val="el-GR"/>
        </w:rPr>
        <w:t xml:space="preserve"> (2016 – 2019), ο οργανισμός είχε κέρδη, για να εμφανίσει ζημιές το 2020. </w:t>
      </w:r>
    </w:p>
    <w:p w14:paraId="109C0005" w14:textId="77777777" w:rsidR="008275EC" w:rsidRPr="008275EC" w:rsidRDefault="008275EC" w:rsidP="008275EC">
      <w:pPr>
        <w:spacing w:before="200" w:after="200"/>
        <w:ind w:firstLine="0"/>
        <w:rPr>
          <w:rFonts w:eastAsia="Calibri"/>
          <w:szCs w:val="24"/>
          <w:lang w:val="el-GR"/>
        </w:rPr>
      </w:pPr>
    </w:p>
    <w:p w14:paraId="2746365D" w14:textId="5C2618E6" w:rsidR="008275EC" w:rsidRPr="008275EC" w:rsidRDefault="008275EC" w:rsidP="00545D68">
      <w:pPr>
        <w:spacing w:before="200" w:after="200"/>
        <w:ind w:firstLine="0"/>
        <w:rPr>
          <w:rFonts w:eastAsia="Calibri"/>
          <w:b/>
          <w:bCs/>
          <w:szCs w:val="24"/>
          <w:u w:val="single"/>
          <w:lang w:val="el-GR"/>
        </w:rPr>
      </w:pPr>
      <w:r w:rsidRPr="008275EC">
        <w:rPr>
          <w:rFonts w:eastAsia="Calibri"/>
          <w:noProof/>
          <w:szCs w:val="24"/>
          <w:lang w:val="el-GR" w:eastAsia="el-GR"/>
        </w:rPr>
        <w:lastRenderedPageBreak/>
        <w:drawing>
          <wp:anchor distT="0" distB="0" distL="114300" distR="114300" simplePos="0" relativeHeight="251666432" behindDoc="0" locked="0" layoutInCell="1" allowOverlap="1" wp14:anchorId="79236485" wp14:editId="1B1E093D">
            <wp:simplePos x="0" y="0"/>
            <wp:positionH relativeFrom="margin">
              <wp:align>center</wp:align>
            </wp:positionH>
            <wp:positionV relativeFrom="paragraph">
              <wp:posOffset>3840</wp:posOffset>
            </wp:positionV>
            <wp:extent cx="6810375" cy="2486025"/>
            <wp:effectExtent l="0" t="0" r="9525" b="9525"/>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810375" cy="248602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r w:rsidR="00545D68">
        <w:rPr>
          <w:rFonts w:eastAsia="Calibri"/>
          <w:b/>
          <w:bCs/>
          <w:szCs w:val="24"/>
          <w:lang w:val="el-GR"/>
        </w:rPr>
        <w:t xml:space="preserve">Σχήμα </w:t>
      </w:r>
      <w:r w:rsidRPr="008275EC">
        <w:rPr>
          <w:rFonts w:eastAsia="Calibri"/>
          <w:b/>
          <w:bCs/>
          <w:szCs w:val="24"/>
          <w:lang w:val="el-GR"/>
        </w:rPr>
        <w:t>5α</w:t>
      </w:r>
      <w:r w:rsidR="00545D68">
        <w:rPr>
          <w:rFonts w:eastAsia="Calibri"/>
          <w:b/>
          <w:bCs/>
          <w:szCs w:val="24"/>
          <w:lang w:val="el-GR"/>
        </w:rPr>
        <w:t>.</w:t>
      </w:r>
      <w:r w:rsidRPr="008275EC">
        <w:rPr>
          <w:rFonts w:eastAsia="Calibri"/>
          <w:b/>
          <w:bCs/>
          <w:szCs w:val="24"/>
          <w:lang w:val="el-GR"/>
        </w:rPr>
        <w:t xml:space="preserve"> </w:t>
      </w:r>
      <w:r w:rsidR="00545D68" w:rsidRPr="008275EC">
        <w:rPr>
          <w:rFonts w:eastAsia="Calibri"/>
          <w:szCs w:val="24"/>
          <w:lang w:val="el-GR"/>
        </w:rPr>
        <w:t>Καθαρ</w:t>
      </w:r>
      <w:r w:rsidR="00545D68">
        <w:rPr>
          <w:rFonts w:eastAsia="Calibri"/>
          <w:szCs w:val="24"/>
          <w:lang w:val="el-GR"/>
        </w:rPr>
        <w:t>ά</w:t>
      </w:r>
      <w:r w:rsidR="00545D68" w:rsidRPr="008275EC">
        <w:rPr>
          <w:rFonts w:eastAsia="Calibri"/>
          <w:szCs w:val="24"/>
          <w:lang w:val="el-GR"/>
        </w:rPr>
        <w:t xml:space="preserve"> Κ</w:t>
      </w:r>
      <w:r w:rsidR="00545D68">
        <w:rPr>
          <w:rFonts w:eastAsia="Calibri"/>
          <w:szCs w:val="24"/>
          <w:lang w:val="el-GR"/>
        </w:rPr>
        <w:t>έ</w:t>
      </w:r>
      <w:r w:rsidR="00545D68" w:rsidRPr="008275EC">
        <w:rPr>
          <w:rFonts w:eastAsia="Calibri"/>
          <w:szCs w:val="24"/>
          <w:lang w:val="el-GR"/>
        </w:rPr>
        <w:t>ρδη/ Ζημι</w:t>
      </w:r>
      <w:r w:rsidR="00545D68">
        <w:rPr>
          <w:rFonts w:eastAsia="Calibri"/>
          <w:szCs w:val="24"/>
          <w:lang w:val="el-GR"/>
        </w:rPr>
        <w:t>έ</w:t>
      </w:r>
      <w:r w:rsidR="00545D68" w:rsidRPr="008275EC">
        <w:rPr>
          <w:rFonts w:eastAsia="Calibri"/>
          <w:szCs w:val="24"/>
          <w:lang w:val="el-GR"/>
        </w:rPr>
        <w:t xml:space="preserve">ς – </w:t>
      </w:r>
      <w:bookmarkStart w:id="67" w:name="_Hlk84854758"/>
      <w:r w:rsidR="00B80A2E" w:rsidRPr="008275EC">
        <w:rPr>
          <w:rFonts w:eastAsia="Calibri"/>
          <w:szCs w:val="24"/>
          <w:lang w:val="el-GR"/>
        </w:rPr>
        <w:t>Τράπεζα</w:t>
      </w:r>
      <w:r w:rsidR="00545D68" w:rsidRPr="008275EC">
        <w:rPr>
          <w:rFonts w:eastAsia="Calibri"/>
          <w:szCs w:val="24"/>
          <w:lang w:val="el-GR"/>
        </w:rPr>
        <w:t xml:space="preserve"> Eurobank </w:t>
      </w:r>
      <w:r w:rsidR="00545D68" w:rsidRPr="00545D68">
        <w:rPr>
          <w:rFonts w:eastAsia="Calibri"/>
          <w:szCs w:val="24"/>
          <w:lang w:val="el-GR"/>
        </w:rPr>
        <w:t>Ergasias</w:t>
      </w:r>
      <w:bookmarkEnd w:id="67"/>
      <w:r w:rsidRPr="008275EC">
        <w:rPr>
          <w:rFonts w:eastAsia="Calibri"/>
          <w:sz w:val="16"/>
          <w:szCs w:val="16"/>
          <w:vertAlign w:val="superscript"/>
          <w:lang w:val="el-GR"/>
        </w:rPr>
        <w:footnoteReference w:id="9"/>
      </w:r>
      <w:bookmarkStart w:id="69" w:name="_Hlk84855150"/>
      <w:r w:rsidR="00545D68" w:rsidRPr="00545D68">
        <w:rPr>
          <w:rFonts w:eastAsia="Calibri"/>
          <w:b/>
          <w:bCs/>
          <w:szCs w:val="24"/>
          <w:lang w:val="el-GR"/>
        </w:rPr>
        <w:t xml:space="preserve"> (</w:t>
      </w:r>
      <w:r w:rsidRPr="008275EC">
        <w:rPr>
          <w:rFonts w:eastAsia="Calibri"/>
          <w:szCs w:val="24"/>
          <w:lang w:val="el-GR"/>
        </w:rPr>
        <w:t xml:space="preserve">Πηγή: Το διάγραμμα δημιουργήθηκε στο </w:t>
      </w:r>
      <w:r w:rsidRPr="008275EC">
        <w:rPr>
          <w:rFonts w:eastAsia="Calibri"/>
          <w:szCs w:val="24"/>
          <w:lang w:val="en-GB"/>
        </w:rPr>
        <w:t>Microsoft</w:t>
      </w:r>
      <w:r w:rsidRPr="008275EC">
        <w:rPr>
          <w:rFonts w:eastAsia="Calibri"/>
          <w:szCs w:val="24"/>
          <w:lang w:val="el-GR"/>
        </w:rPr>
        <w:t xml:space="preserve"> </w:t>
      </w:r>
      <w:r w:rsidRPr="008275EC">
        <w:rPr>
          <w:rFonts w:eastAsia="Calibri"/>
          <w:szCs w:val="24"/>
          <w:lang w:val="en-GB"/>
        </w:rPr>
        <w:t>Office</w:t>
      </w:r>
      <w:r w:rsidRPr="008275EC">
        <w:rPr>
          <w:rFonts w:eastAsia="Calibri"/>
          <w:szCs w:val="24"/>
          <w:lang w:val="el-GR"/>
        </w:rPr>
        <w:t xml:space="preserve"> </w:t>
      </w:r>
      <w:r w:rsidRPr="008275EC">
        <w:rPr>
          <w:rFonts w:eastAsia="Calibri"/>
          <w:szCs w:val="24"/>
          <w:lang w:val="en-GB"/>
        </w:rPr>
        <w:t>excel</w:t>
      </w:r>
      <w:r w:rsidRPr="008275EC">
        <w:rPr>
          <w:rFonts w:eastAsia="Calibri"/>
          <w:szCs w:val="24"/>
          <w:lang w:val="el-GR"/>
        </w:rPr>
        <w:t xml:space="preserve"> από τον συγγραφέα</w:t>
      </w:r>
      <w:r w:rsidR="00545D68" w:rsidRPr="00545D68">
        <w:rPr>
          <w:rFonts w:eastAsia="Calibri"/>
          <w:szCs w:val="24"/>
          <w:lang w:val="el-GR"/>
        </w:rPr>
        <w:t>)</w:t>
      </w:r>
      <w:r w:rsidRPr="008275EC">
        <w:rPr>
          <w:rFonts w:eastAsia="Calibri"/>
          <w:szCs w:val="24"/>
          <w:lang w:val="el-GR"/>
        </w:rPr>
        <w:t>.</w:t>
      </w:r>
    </w:p>
    <w:bookmarkEnd w:id="69"/>
    <w:p w14:paraId="4BA05F15" w14:textId="77777777" w:rsidR="008275EC" w:rsidRPr="008275EC" w:rsidRDefault="008275EC" w:rsidP="008275EC">
      <w:pPr>
        <w:spacing w:before="200" w:after="200"/>
        <w:ind w:firstLine="0"/>
        <w:rPr>
          <w:rFonts w:eastAsia="Calibri"/>
          <w:b/>
          <w:bCs/>
          <w:szCs w:val="24"/>
          <w:u w:val="single"/>
          <w:lang w:val="el-GR"/>
        </w:rPr>
      </w:pPr>
    </w:p>
    <w:p w14:paraId="626C858A" w14:textId="6C9B58BC" w:rsidR="008275EC" w:rsidRPr="008275EC" w:rsidRDefault="00545D68" w:rsidP="008275EC">
      <w:pPr>
        <w:spacing w:before="200" w:after="200"/>
        <w:ind w:firstLine="0"/>
        <w:rPr>
          <w:rFonts w:eastAsia="Calibri"/>
          <w:b/>
          <w:bCs/>
          <w:szCs w:val="24"/>
          <w:u w:val="single"/>
          <w:lang w:val="el-GR"/>
        </w:rPr>
      </w:pPr>
      <w:r w:rsidRPr="008275EC">
        <w:rPr>
          <w:rFonts w:eastAsia="Calibri"/>
          <w:noProof/>
          <w:szCs w:val="24"/>
          <w:lang w:val="el-GR" w:eastAsia="el-GR"/>
        </w:rPr>
        <w:drawing>
          <wp:anchor distT="0" distB="0" distL="114300" distR="114300" simplePos="0" relativeHeight="251667456" behindDoc="0" locked="0" layoutInCell="1" allowOverlap="1" wp14:anchorId="33846B82" wp14:editId="1EA81883">
            <wp:simplePos x="0" y="0"/>
            <wp:positionH relativeFrom="margin">
              <wp:align>center</wp:align>
            </wp:positionH>
            <wp:positionV relativeFrom="paragraph">
              <wp:posOffset>352824</wp:posOffset>
            </wp:positionV>
            <wp:extent cx="6762750" cy="2495550"/>
            <wp:effectExtent l="0" t="0" r="0"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762750" cy="2495550"/>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12288A9D" w14:textId="0F720846" w:rsidR="008275EC" w:rsidRPr="008275EC" w:rsidRDefault="00545D68" w:rsidP="00545D68">
      <w:pPr>
        <w:spacing w:before="200" w:after="200"/>
        <w:ind w:firstLine="0"/>
        <w:rPr>
          <w:rFonts w:eastAsia="Calibri"/>
          <w:b/>
          <w:bCs/>
          <w:szCs w:val="24"/>
          <w:lang w:val="el-GR"/>
        </w:rPr>
      </w:pPr>
      <w:r>
        <w:rPr>
          <w:rFonts w:eastAsia="Calibri"/>
          <w:b/>
          <w:bCs/>
          <w:szCs w:val="24"/>
          <w:lang w:val="el-GR"/>
        </w:rPr>
        <w:t>Σχήμα</w:t>
      </w:r>
      <w:r w:rsidR="008275EC" w:rsidRPr="008275EC">
        <w:rPr>
          <w:rFonts w:eastAsia="Calibri"/>
          <w:b/>
          <w:bCs/>
          <w:szCs w:val="24"/>
          <w:lang w:val="el-GR"/>
        </w:rPr>
        <w:t xml:space="preserve"> 5β</w:t>
      </w:r>
      <w:r>
        <w:rPr>
          <w:rFonts w:eastAsia="Calibri"/>
          <w:b/>
          <w:bCs/>
          <w:szCs w:val="24"/>
          <w:lang w:val="el-GR"/>
        </w:rPr>
        <w:t>.</w:t>
      </w:r>
      <w:r w:rsidR="008275EC" w:rsidRPr="008275EC">
        <w:rPr>
          <w:rFonts w:eastAsia="Calibri"/>
          <w:b/>
          <w:bCs/>
          <w:szCs w:val="24"/>
          <w:lang w:val="el-GR"/>
        </w:rPr>
        <w:t xml:space="preserve"> </w:t>
      </w:r>
      <w:r w:rsidRPr="008275EC">
        <w:rPr>
          <w:rFonts w:eastAsia="Calibri"/>
          <w:szCs w:val="24"/>
          <w:lang w:val="el-GR"/>
        </w:rPr>
        <w:t>Ποσοστια</w:t>
      </w:r>
      <w:r>
        <w:rPr>
          <w:rFonts w:eastAsia="Calibri"/>
          <w:szCs w:val="24"/>
          <w:lang w:val="el-GR"/>
        </w:rPr>
        <w:t>ί</w:t>
      </w:r>
      <w:r w:rsidRPr="008275EC">
        <w:rPr>
          <w:rFonts w:eastAsia="Calibri"/>
          <w:szCs w:val="24"/>
          <w:lang w:val="el-GR"/>
        </w:rPr>
        <w:t>ες Μεταβολ</w:t>
      </w:r>
      <w:r>
        <w:rPr>
          <w:rFonts w:eastAsia="Calibri"/>
          <w:szCs w:val="24"/>
          <w:lang w:val="el-GR"/>
        </w:rPr>
        <w:t>έ</w:t>
      </w:r>
      <w:r w:rsidRPr="008275EC">
        <w:rPr>
          <w:rFonts w:eastAsia="Calibri"/>
          <w:szCs w:val="24"/>
          <w:lang w:val="el-GR"/>
        </w:rPr>
        <w:t>ς Καθαρ</w:t>
      </w:r>
      <w:r>
        <w:rPr>
          <w:rFonts w:eastAsia="Calibri"/>
          <w:szCs w:val="24"/>
          <w:lang w:val="el-GR"/>
        </w:rPr>
        <w:t>ώ</w:t>
      </w:r>
      <w:r w:rsidRPr="008275EC">
        <w:rPr>
          <w:rFonts w:eastAsia="Calibri"/>
          <w:szCs w:val="24"/>
          <w:lang w:val="el-GR"/>
        </w:rPr>
        <w:t>ν Κερδ</w:t>
      </w:r>
      <w:r>
        <w:rPr>
          <w:rFonts w:eastAsia="Calibri"/>
          <w:szCs w:val="24"/>
          <w:lang w:val="el-GR"/>
        </w:rPr>
        <w:t>ώ</w:t>
      </w:r>
      <w:r w:rsidRPr="008275EC">
        <w:rPr>
          <w:rFonts w:eastAsia="Calibri"/>
          <w:szCs w:val="24"/>
          <w:lang w:val="el-GR"/>
        </w:rPr>
        <w:t>ν/ Ζημι</w:t>
      </w:r>
      <w:r>
        <w:rPr>
          <w:rFonts w:eastAsia="Calibri"/>
          <w:szCs w:val="24"/>
          <w:lang w:val="el-GR"/>
        </w:rPr>
        <w:t>ώ</w:t>
      </w:r>
      <w:r w:rsidRPr="008275EC">
        <w:rPr>
          <w:rFonts w:eastAsia="Calibri"/>
          <w:szCs w:val="24"/>
          <w:lang w:val="el-GR"/>
        </w:rPr>
        <w:t xml:space="preserve">ν – </w:t>
      </w:r>
      <w:bookmarkStart w:id="70" w:name="_Hlk84860525"/>
      <w:r w:rsidRPr="008275EC">
        <w:rPr>
          <w:rFonts w:eastAsia="Calibri"/>
          <w:szCs w:val="24"/>
          <w:lang w:val="el-GR"/>
        </w:rPr>
        <w:t>Τρ</w:t>
      </w:r>
      <w:r>
        <w:rPr>
          <w:rFonts w:eastAsia="Calibri"/>
          <w:szCs w:val="24"/>
          <w:lang w:val="el-GR"/>
        </w:rPr>
        <w:t>ά</w:t>
      </w:r>
      <w:r w:rsidRPr="008275EC">
        <w:rPr>
          <w:rFonts w:eastAsia="Calibri"/>
          <w:szCs w:val="24"/>
          <w:lang w:val="el-GR"/>
        </w:rPr>
        <w:t>πεζα Eurobank Ergasias</w:t>
      </w:r>
      <w:bookmarkStart w:id="71" w:name="_Hlk84860685"/>
      <w:bookmarkEnd w:id="70"/>
      <w:r>
        <w:rPr>
          <w:rFonts w:eastAsia="Calibri"/>
          <w:szCs w:val="24"/>
          <w:lang w:val="el-GR"/>
        </w:rPr>
        <w:t xml:space="preserve"> (</w:t>
      </w:r>
      <w:r w:rsidR="008275EC" w:rsidRPr="008275EC">
        <w:rPr>
          <w:rFonts w:eastAsia="Calibri"/>
          <w:szCs w:val="24"/>
          <w:lang w:val="el-GR"/>
        </w:rPr>
        <w:t xml:space="preserve">Πηγή: Το διάγραμμα δημιουργήθηκε στο </w:t>
      </w:r>
      <w:r w:rsidR="008275EC" w:rsidRPr="008275EC">
        <w:rPr>
          <w:rFonts w:eastAsia="Calibri"/>
          <w:szCs w:val="24"/>
          <w:lang w:val="en-GB"/>
        </w:rPr>
        <w:t>Microsoft</w:t>
      </w:r>
      <w:r w:rsidR="008275EC" w:rsidRPr="008275EC">
        <w:rPr>
          <w:rFonts w:eastAsia="Calibri"/>
          <w:szCs w:val="24"/>
          <w:lang w:val="el-GR"/>
        </w:rPr>
        <w:t xml:space="preserve"> </w:t>
      </w:r>
      <w:r w:rsidR="008275EC" w:rsidRPr="008275EC">
        <w:rPr>
          <w:rFonts w:eastAsia="Calibri"/>
          <w:szCs w:val="24"/>
          <w:lang w:val="en-GB"/>
        </w:rPr>
        <w:t>Office</w:t>
      </w:r>
      <w:r w:rsidR="008275EC" w:rsidRPr="008275EC">
        <w:rPr>
          <w:rFonts w:eastAsia="Calibri"/>
          <w:szCs w:val="24"/>
          <w:lang w:val="el-GR"/>
        </w:rPr>
        <w:t xml:space="preserve"> </w:t>
      </w:r>
      <w:r w:rsidR="008275EC" w:rsidRPr="008275EC">
        <w:rPr>
          <w:rFonts w:eastAsia="Calibri"/>
          <w:szCs w:val="24"/>
          <w:lang w:val="en-GB"/>
        </w:rPr>
        <w:t>excel</w:t>
      </w:r>
      <w:r w:rsidR="008275EC" w:rsidRPr="008275EC">
        <w:rPr>
          <w:rFonts w:eastAsia="Calibri"/>
          <w:szCs w:val="24"/>
          <w:lang w:val="el-GR"/>
        </w:rPr>
        <w:t xml:space="preserve"> από τον συγγραφέα</w:t>
      </w:r>
      <w:r>
        <w:rPr>
          <w:rFonts w:eastAsia="Calibri"/>
          <w:szCs w:val="24"/>
          <w:lang w:val="el-GR"/>
        </w:rPr>
        <w:t>)</w:t>
      </w:r>
      <w:r w:rsidR="008275EC" w:rsidRPr="008275EC">
        <w:rPr>
          <w:rFonts w:eastAsia="Calibri"/>
          <w:szCs w:val="24"/>
          <w:lang w:val="el-GR"/>
        </w:rPr>
        <w:t>.</w:t>
      </w:r>
    </w:p>
    <w:bookmarkEnd w:id="71"/>
    <w:p w14:paraId="385A6068" w14:textId="77777777" w:rsidR="008275EC" w:rsidRPr="008275EC" w:rsidRDefault="008275EC" w:rsidP="008275EC">
      <w:pPr>
        <w:spacing w:before="200" w:after="200"/>
        <w:ind w:firstLine="0"/>
        <w:rPr>
          <w:rFonts w:eastAsia="Calibri"/>
          <w:b/>
          <w:bCs/>
          <w:szCs w:val="24"/>
          <w:u w:val="single"/>
          <w:lang w:val="el-GR"/>
        </w:rPr>
      </w:pPr>
    </w:p>
    <w:p w14:paraId="7E315889" w14:textId="77777777" w:rsidR="008275EC" w:rsidRPr="008275EC" w:rsidRDefault="008275EC" w:rsidP="003F73DB">
      <w:pPr>
        <w:pBdr>
          <w:top w:val="nil"/>
          <w:left w:val="nil"/>
          <w:bottom w:val="nil"/>
          <w:right w:val="nil"/>
          <w:between w:val="nil"/>
          <w:bar w:val="nil"/>
        </w:pBdr>
        <w:spacing w:before="200" w:after="200"/>
        <w:ind w:firstLine="709"/>
        <w:rPr>
          <w:rFonts w:eastAsia="Calibri"/>
          <w:szCs w:val="24"/>
          <w:lang w:val="el-GR"/>
        </w:rPr>
      </w:pPr>
      <w:bookmarkStart w:id="72" w:name="_Hlk84930692"/>
      <w:r w:rsidRPr="008275EC">
        <w:rPr>
          <w:rFonts w:eastAsia="Calibri"/>
          <w:szCs w:val="24"/>
          <w:lang w:val="el-GR"/>
        </w:rPr>
        <w:lastRenderedPageBreak/>
        <w:t xml:space="preserve">Όσον αφορά το δείκτη </w:t>
      </w:r>
      <w:r w:rsidRPr="008275EC">
        <w:rPr>
          <w:rFonts w:eastAsia="Calibri"/>
          <w:szCs w:val="24"/>
        </w:rPr>
        <w:t>ROA</w:t>
      </w:r>
      <w:r w:rsidRPr="008275EC">
        <w:rPr>
          <w:rFonts w:eastAsia="Calibri"/>
          <w:szCs w:val="24"/>
          <w:lang w:val="el-GR"/>
        </w:rPr>
        <w:t xml:space="preserve">, στην περίπτωση της τράπεζας </w:t>
      </w:r>
      <w:r w:rsidRPr="008275EC">
        <w:rPr>
          <w:rFonts w:eastAsia="Calibri"/>
          <w:szCs w:val="24"/>
        </w:rPr>
        <w:t>Eurobank</w:t>
      </w:r>
      <w:r w:rsidRPr="008275EC">
        <w:rPr>
          <w:rFonts w:eastAsia="Calibri"/>
          <w:szCs w:val="24"/>
          <w:lang w:val="el-GR"/>
        </w:rPr>
        <w:t xml:space="preserve"> είναι συνεχώς κάτω από το 1,50%</w:t>
      </w:r>
      <w:r w:rsidRPr="008275EC">
        <w:rPr>
          <w:rFonts w:eastAsia="Calibri"/>
          <w:szCs w:val="24"/>
          <w:vertAlign w:val="superscript"/>
          <w:lang w:val="el-GR"/>
        </w:rPr>
        <w:footnoteReference w:id="10"/>
      </w:r>
      <w:r w:rsidRPr="008275EC">
        <w:rPr>
          <w:rFonts w:eastAsia="Calibri"/>
          <w:szCs w:val="24"/>
          <w:lang w:val="el-GR"/>
        </w:rPr>
        <w:t xml:space="preserve">, ενώ πολλές χρονιές ο δείκτης είναι αρνητικός εξαιτίας των ζημιών που εμφάνιζε ο τραπεζικός οργανισμός. Πιο συγκεκριμένα, το 2005, πριν το ξέσπασμα της κρίσης, ο δείκτης ήταν περίπου 1%, για να αυξηθεί στο 1,20% το 2007, στη συνέχεια άρχισαν οι μειώσεις. Το 2020, ο δείκτης </w:t>
      </w:r>
      <w:r w:rsidRPr="008275EC">
        <w:rPr>
          <w:rFonts w:eastAsia="Calibri"/>
          <w:szCs w:val="24"/>
        </w:rPr>
        <w:t>ROA</w:t>
      </w:r>
      <w:r w:rsidRPr="008275EC">
        <w:rPr>
          <w:rFonts w:eastAsia="Calibri"/>
          <w:szCs w:val="24"/>
          <w:lang w:val="el-GR"/>
        </w:rPr>
        <w:t xml:space="preserve"> για τη </w:t>
      </w:r>
      <w:r w:rsidRPr="008275EC">
        <w:rPr>
          <w:rFonts w:eastAsia="Calibri"/>
          <w:szCs w:val="24"/>
        </w:rPr>
        <w:t>Eurobank</w:t>
      </w:r>
      <w:r w:rsidRPr="008275EC">
        <w:rPr>
          <w:rFonts w:eastAsia="Calibri"/>
          <w:szCs w:val="24"/>
          <w:lang w:val="el-GR"/>
        </w:rPr>
        <w:t xml:space="preserve"> ήταν αρνητικός, στο 1,80% (εξαιτίας των ζημιών που είχε ο οργανισμός), μειωμένος κατά περίπου 1.000%, σε σχέση με το 2019. Η καλύτερη απόδοση του δείκτη, για την τράπεζα </w:t>
      </w:r>
      <w:r w:rsidRPr="008275EC">
        <w:rPr>
          <w:rFonts w:eastAsia="Calibri"/>
          <w:szCs w:val="24"/>
        </w:rPr>
        <w:t>Eurobank</w:t>
      </w:r>
      <w:r w:rsidRPr="008275EC">
        <w:rPr>
          <w:rFonts w:eastAsia="Calibri"/>
          <w:szCs w:val="24"/>
          <w:lang w:val="el-GR"/>
        </w:rPr>
        <w:t xml:space="preserve">, ήταν το 2007 (1,20%), ενώ η χειρότερη ήταν το 2011 (-7,15%). Η πολύ χαμηλή αξία του δείκτη ROA (και σε πολλές χρονιές, η αρνητική αξία) δείχνει ότι η Τράπεζα </w:t>
      </w:r>
      <w:r w:rsidRPr="008275EC">
        <w:rPr>
          <w:rFonts w:eastAsia="Calibri"/>
          <w:szCs w:val="24"/>
        </w:rPr>
        <w:t>Eurobank</w:t>
      </w:r>
      <w:r w:rsidRPr="008275EC">
        <w:rPr>
          <w:rFonts w:eastAsia="Calibri"/>
          <w:szCs w:val="24"/>
          <w:lang w:val="el-GR"/>
        </w:rPr>
        <w:t xml:space="preserve"> δεν είναι σε θέση να μεγιστοποιήσει τη χρήση των περιουσιακών της στοιχείων, προκειμένου να αποκτήσει περισσότερα κέρδη. Στην περίπτωση της </w:t>
      </w:r>
      <w:r w:rsidRPr="008275EC">
        <w:rPr>
          <w:rFonts w:eastAsia="Calibri"/>
          <w:szCs w:val="24"/>
        </w:rPr>
        <w:t>Eurobank</w:t>
      </w:r>
      <w:r w:rsidRPr="008275EC">
        <w:rPr>
          <w:rFonts w:eastAsia="Calibri"/>
          <w:szCs w:val="24"/>
          <w:lang w:val="el-GR"/>
        </w:rPr>
        <w:t xml:space="preserve">, η πορεία του δείκτη </w:t>
      </w:r>
      <w:r w:rsidRPr="008275EC">
        <w:rPr>
          <w:rFonts w:eastAsia="Calibri"/>
          <w:szCs w:val="24"/>
        </w:rPr>
        <w:t>ROA</w:t>
      </w:r>
      <w:r w:rsidRPr="008275EC">
        <w:rPr>
          <w:rFonts w:eastAsia="Calibri"/>
          <w:szCs w:val="24"/>
          <w:lang w:val="el-GR"/>
        </w:rPr>
        <w:t xml:space="preserve"> ακολουθεί κυρίως την πορεία των καθαρών κερδών/ ζημιών.</w:t>
      </w:r>
    </w:p>
    <w:bookmarkEnd w:id="72"/>
    <w:p w14:paraId="461E690B" w14:textId="2CA24DE2"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17B0ACC8" w14:textId="028BFA2B" w:rsidR="008275EC" w:rsidRPr="008275EC" w:rsidRDefault="003F73DB" w:rsidP="008275EC">
      <w:pPr>
        <w:pBdr>
          <w:top w:val="nil"/>
          <w:left w:val="nil"/>
          <w:bottom w:val="nil"/>
          <w:right w:val="nil"/>
          <w:between w:val="nil"/>
          <w:bar w:val="nil"/>
        </w:pBdr>
        <w:spacing w:before="200" w:after="200"/>
        <w:ind w:firstLine="0"/>
        <w:rPr>
          <w:rFonts w:eastAsia="Calibri"/>
          <w:szCs w:val="24"/>
          <w:lang w:val="el-GR"/>
        </w:rPr>
      </w:pPr>
      <w:r w:rsidRPr="008275EC">
        <w:rPr>
          <w:rFonts w:eastAsia="Calibri"/>
          <w:noProof/>
          <w:szCs w:val="24"/>
          <w:lang w:val="el-GR" w:eastAsia="el-GR"/>
        </w:rPr>
        <w:drawing>
          <wp:anchor distT="0" distB="0" distL="114300" distR="114300" simplePos="0" relativeHeight="251668480" behindDoc="0" locked="0" layoutInCell="1" allowOverlap="1" wp14:anchorId="49724F3E" wp14:editId="79F54E42">
            <wp:simplePos x="0" y="0"/>
            <wp:positionH relativeFrom="column">
              <wp:posOffset>-509919</wp:posOffset>
            </wp:positionH>
            <wp:positionV relativeFrom="paragraph">
              <wp:posOffset>188935</wp:posOffset>
            </wp:positionV>
            <wp:extent cx="6838950" cy="2466975"/>
            <wp:effectExtent l="0" t="0" r="0" b="9525"/>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838950" cy="246697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0F62D95A" w14:textId="0D9E6EF5" w:rsidR="008275EC" w:rsidRPr="008275EC" w:rsidRDefault="003F73DB" w:rsidP="008275EC">
      <w:pPr>
        <w:pBdr>
          <w:top w:val="nil"/>
          <w:left w:val="nil"/>
          <w:bottom w:val="nil"/>
          <w:right w:val="nil"/>
          <w:between w:val="nil"/>
          <w:bar w:val="nil"/>
        </w:pBdr>
        <w:spacing w:before="200" w:after="200"/>
        <w:ind w:firstLine="0"/>
        <w:rPr>
          <w:rFonts w:eastAsia="Calibri"/>
          <w:b/>
          <w:bCs/>
          <w:szCs w:val="24"/>
          <w:lang w:val="el-GR"/>
        </w:rPr>
      </w:pPr>
      <w:r>
        <w:rPr>
          <w:rFonts w:eastAsia="Calibri"/>
          <w:b/>
          <w:bCs/>
          <w:szCs w:val="24"/>
          <w:lang w:val="el-GR"/>
        </w:rPr>
        <w:t>Σχήμα</w:t>
      </w:r>
      <w:r w:rsidR="008275EC" w:rsidRPr="008275EC">
        <w:rPr>
          <w:rFonts w:eastAsia="Calibri"/>
          <w:b/>
          <w:bCs/>
          <w:szCs w:val="24"/>
          <w:lang w:val="el-GR"/>
        </w:rPr>
        <w:t xml:space="preserve"> 6α</w:t>
      </w:r>
      <w:r>
        <w:rPr>
          <w:rFonts w:eastAsia="Calibri"/>
          <w:b/>
          <w:bCs/>
          <w:szCs w:val="24"/>
          <w:lang w:val="el-GR"/>
        </w:rPr>
        <w:t>.</w:t>
      </w:r>
      <w:r w:rsidR="008275EC" w:rsidRPr="008275EC">
        <w:rPr>
          <w:rFonts w:eastAsia="Calibri"/>
          <w:b/>
          <w:bCs/>
          <w:szCs w:val="24"/>
          <w:lang w:val="el-GR"/>
        </w:rPr>
        <w:t xml:space="preserve"> </w:t>
      </w:r>
      <w:r w:rsidR="00B80A2E" w:rsidRPr="008275EC">
        <w:rPr>
          <w:rFonts w:eastAsia="Calibri"/>
          <w:szCs w:val="24"/>
          <w:lang w:val="el-GR"/>
        </w:rPr>
        <w:t>Δ</w:t>
      </w:r>
      <w:r w:rsidR="00B80A2E">
        <w:rPr>
          <w:rFonts w:eastAsia="Calibri"/>
          <w:szCs w:val="24"/>
          <w:lang w:val="el-GR"/>
        </w:rPr>
        <w:t>είκτης</w:t>
      </w:r>
      <w:r w:rsidR="008275EC" w:rsidRPr="008275EC">
        <w:rPr>
          <w:rFonts w:eastAsia="Calibri"/>
          <w:szCs w:val="24"/>
          <w:lang w:val="el-GR"/>
        </w:rPr>
        <w:t xml:space="preserve"> ROA – </w:t>
      </w:r>
      <w:r w:rsidRPr="008275EC">
        <w:rPr>
          <w:rFonts w:eastAsia="Calibri"/>
          <w:szCs w:val="24"/>
          <w:lang w:val="el-GR"/>
        </w:rPr>
        <w:t>Τρ</w:t>
      </w:r>
      <w:r>
        <w:rPr>
          <w:rFonts w:eastAsia="Calibri"/>
          <w:szCs w:val="24"/>
          <w:lang w:val="el-GR"/>
        </w:rPr>
        <w:t>ά</w:t>
      </w:r>
      <w:r w:rsidRPr="008275EC">
        <w:rPr>
          <w:rFonts w:eastAsia="Calibri"/>
          <w:szCs w:val="24"/>
          <w:lang w:val="el-GR"/>
        </w:rPr>
        <w:t>πεζα Eurobank Ergasias</w:t>
      </w:r>
      <w:bookmarkStart w:id="73" w:name="_Hlk84861111"/>
      <w:r>
        <w:rPr>
          <w:rFonts w:eastAsia="Calibri"/>
          <w:b/>
          <w:bCs/>
          <w:szCs w:val="24"/>
          <w:lang w:val="el-GR"/>
        </w:rPr>
        <w:t xml:space="preserve"> (</w:t>
      </w:r>
      <w:r w:rsidR="008275EC" w:rsidRPr="008275EC">
        <w:rPr>
          <w:rFonts w:eastAsia="Calibri"/>
          <w:szCs w:val="24"/>
          <w:lang w:val="el-GR"/>
        </w:rPr>
        <w:t xml:space="preserve">Πηγή: Το διάγραμμα δημιουργήθηκε στο </w:t>
      </w:r>
      <w:r w:rsidR="008275EC" w:rsidRPr="008275EC">
        <w:rPr>
          <w:rFonts w:eastAsia="Calibri"/>
          <w:szCs w:val="24"/>
          <w:lang w:val="en-GB"/>
        </w:rPr>
        <w:t>Microsoft</w:t>
      </w:r>
      <w:r w:rsidR="008275EC" w:rsidRPr="008275EC">
        <w:rPr>
          <w:rFonts w:eastAsia="Calibri"/>
          <w:szCs w:val="24"/>
          <w:lang w:val="el-GR"/>
        </w:rPr>
        <w:t xml:space="preserve"> </w:t>
      </w:r>
      <w:r w:rsidR="008275EC" w:rsidRPr="008275EC">
        <w:rPr>
          <w:rFonts w:eastAsia="Calibri"/>
          <w:szCs w:val="24"/>
          <w:lang w:val="en-GB"/>
        </w:rPr>
        <w:t>Office</w:t>
      </w:r>
      <w:r w:rsidR="008275EC" w:rsidRPr="008275EC">
        <w:rPr>
          <w:rFonts w:eastAsia="Calibri"/>
          <w:szCs w:val="24"/>
          <w:lang w:val="el-GR"/>
        </w:rPr>
        <w:t xml:space="preserve"> </w:t>
      </w:r>
      <w:r w:rsidR="008275EC" w:rsidRPr="008275EC">
        <w:rPr>
          <w:rFonts w:eastAsia="Calibri"/>
          <w:szCs w:val="24"/>
          <w:lang w:val="en-GB"/>
        </w:rPr>
        <w:t>excel</w:t>
      </w:r>
      <w:r w:rsidR="008275EC" w:rsidRPr="008275EC">
        <w:rPr>
          <w:rFonts w:eastAsia="Calibri"/>
          <w:szCs w:val="24"/>
          <w:lang w:val="el-GR"/>
        </w:rPr>
        <w:t xml:space="preserve"> από τον συγγραφέα</w:t>
      </w:r>
      <w:r>
        <w:rPr>
          <w:rFonts w:eastAsia="Calibri"/>
          <w:szCs w:val="24"/>
          <w:lang w:val="el-GR"/>
        </w:rPr>
        <w:t>)</w:t>
      </w:r>
      <w:r w:rsidR="008275EC" w:rsidRPr="008275EC">
        <w:rPr>
          <w:rFonts w:eastAsia="Calibri"/>
          <w:szCs w:val="24"/>
          <w:lang w:val="el-GR"/>
        </w:rPr>
        <w:t>.</w:t>
      </w:r>
    </w:p>
    <w:bookmarkEnd w:id="73"/>
    <w:p w14:paraId="5E390864" w14:textId="77777777" w:rsidR="008275EC" w:rsidRPr="008275EC" w:rsidRDefault="008275EC" w:rsidP="008275EC">
      <w:pPr>
        <w:spacing w:before="200" w:after="200"/>
        <w:ind w:firstLine="0"/>
        <w:rPr>
          <w:rFonts w:eastAsia="Calibri"/>
          <w:b/>
          <w:bCs/>
          <w:szCs w:val="24"/>
          <w:u w:val="single"/>
          <w:lang w:val="el-GR"/>
        </w:rPr>
      </w:pPr>
    </w:p>
    <w:p w14:paraId="2712E1B9" w14:textId="35B91432" w:rsidR="008275EC" w:rsidRPr="008275EC" w:rsidRDefault="008275EC" w:rsidP="004B238A">
      <w:pPr>
        <w:spacing w:before="200" w:after="200"/>
        <w:ind w:firstLine="0"/>
        <w:rPr>
          <w:rFonts w:eastAsia="Calibri"/>
          <w:szCs w:val="24"/>
          <w:lang w:val="el-GR"/>
        </w:rPr>
      </w:pPr>
      <w:r w:rsidRPr="008275EC">
        <w:rPr>
          <w:rFonts w:eastAsia="Calibri"/>
          <w:noProof/>
          <w:szCs w:val="24"/>
          <w:lang w:val="el-GR" w:eastAsia="el-GR"/>
        </w:rPr>
        <w:lastRenderedPageBreak/>
        <w:drawing>
          <wp:anchor distT="0" distB="0" distL="114300" distR="114300" simplePos="0" relativeHeight="251669504" behindDoc="0" locked="0" layoutInCell="1" allowOverlap="1" wp14:anchorId="39D070A2" wp14:editId="672F93F4">
            <wp:simplePos x="0" y="0"/>
            <wp:positionH relativeFrom="margin">
              <wp:posOffset>-479129</wp:posOffset>
            </wp:positionH>
            <wp:positionV relativeFrom="paragraph">
              <wp:posOffset>15</wp:posOffset>
            </wp:positionV>
            <wp:extent cx="6829425" cy="2571750"/>
            <wp:effectExtent l="0" t="0" r="9525" b="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829425" cy="2571750"/>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r w:rsidR="004B238A">
        <w:rPr>
          <w:rFonts w:eastAsia="Calibri"/>
          <w:b/>
          <w:bCs/>
          <w:szCs w:val="24"/>
          <w:lang w:val="el-GR"/>
        </w:rPr>
        <w:t>Σχήμα</w:t>
      </w:r>
      <w:r w:rsidRPr="008275EC">
        <w:rPr>
          <w:rFonts w:eastAsia="Calibri"/>
          <w:b/>
          <w:bCs/>
          <w:szCs w:val="24"/>
          <w:lang w:val="el-GR"/>
        </w:rPr>
        <w:t xml:space="preserve"> 6β</w:t>
      </w:r>
      <w:r w:rsidR="004B238A">
        <w:rPr>
          <w:rFonts w:eastAsia="Calibri"/>
          <w:b/>
          <w:bCs/>
          <w:szCs w:val="24"/>
          <w:lang w:val="el-GR"/>
        </w:rPr>
        <w:t>.</w:t>
      </w:r>
      <w:r w:rsidRPr="008275EC">
        <w:rPr>
          <w:rFonts w:eastAsia="Calibri"/>
          <w:b/>
          <w:bCs/>
          <w:szCs w:val="24"/>
          <w:lang w:val="el-GR"/>
        </w:rPr>
        <w:t xml:space="preserve"> </w:t>
      </w:r>
      <w:r w:rsidR="004B238A" w:rsidRPr="008275EC">
        <w:rPr>
          <w:rFonts w:eastAsia="Calibri"/>
          <w:szCs w:val="24"/>
          <w:lang w:val="el-GR"/>
        </w:rPr>
        <w:t>Ποσοστια</w:t>
      </w:r>
      <w:r w:rsidR="004B238A">
        <w:rPr>
          <w:rFonts w:eastAsia="Calibri"/>
          <w:szCs w:val="24"/>
          <w:lang w:val="el-GR"/>
        </w:rPr>
        <w:t>ί</w:t>
      </w:r>
      <w:r w:rsidR="004B238A" w:rsidRPr="008275EC">
        <w:rPr>
          <w:rFonts w:eastAsia="Calibri"/>
          <w:szCs w:val="24"/>
          <w:lang w:val="el-GR"/>
        </w:rPr>
        <w:t>ες Μεταβολ</w:t>
      </w:r>
      <w:r w:rsidR="004B238A">
        <w:rPr>
          <w:rFonts w:eastAsia="Calibri"/>
          <w:szCs w:val="24"/>
          <w:lang w:val="el-GR"/>
        </w:rPr>
        <w:t>έ</w:t>
      </w:r>
      <w:r w:rsidR="004B238A" w:rsidRPr="008275EC">
        <w:rPr>
          <w:rFonts w:eastAsia="Calibri"/>
          <w:szCs w:val="24"/>
          <w:lang w:val="el-GR"/>
        </w:rPr>
        <w:t>ς Δε</w:t>
      </w:r>
      <w:r w:rsidR="004B238A">
        <w:rPr>
          <w:rFonts w:eastAsia="Calibri"/>
          <w:szCs w:val="24"/>
          <w:lang w:val="el-GR"/>
        </w:rPr>
        <w:t>ί</w:t>
      </w:r>
      <w:r w:rsidR="004B238A" w:rsidRPr="008275EC">
        <w:rPr>
          <w:rFonts w:eastAsia="Calibri"/>
          <w:szCs w:val="24"/>
          <w:lang w:val="el-GR"/>
        </w:rPr>
        <w:t xml:space="preserve">κτη </w:t>
      </w:r>
      <w:r w:rsidRPr="008275EC">
        <w:rPr>
          <w:rFonts w:eastAsia="Calibri"/>
          <w:szCs w:val="24"/>
          <w:lang w:val="el-GR"/>
        </w:rPr>
        <w:t xml:space="preserve">ROA </w:t>
      </w:r>
      <w:bookmarkStart w:id="74" w:name="_Hlk84862705"/>
      <w:r w:rsidR="004B238A" w:rsidRPr="008275EC">
        <w:rPr>
          <w:rFonts w:eastAsia="Calibri"/>
          <w:szCs w:val="24"/>
          <w:lang w:val="el-GR"/>
        </w:rPr>
        <w:t>- Τρ</w:t>
      </w:r>
      <w:r w:rsidR="004B238A">
        <w:rPr>
          <w:rFonts w:eastAsia="Calibri"/>
          <w:szCs w:val="24"/>
          <w:lang w:val="el-GR"/>
        </w:rPr>
        <w:t>ά</w:t>
      </w:r>
      <w:r w:rsidR="004B238A" w:rsidRPr="008275EC">
        <w:rPr>
          <w:rFonts w:eastAsia="Calibri"/>
          <w:szCs w:val="24"/>
          <w:lang w:val="el-GR"/>
        </w:rPr>
        <w:t>πεζα Eurobank Ergasias</w:t>
      </w:r>
      <w:bookmarkStart w:id="75" w:name="_Hlk84862766"/>
      <w:bookmarkEnd w:id="74"/>
      <w:r w:rsidR="004B238A">
        <w:rPr>
          <w:rFonts w:eastAsia="Calibri"/>
          <w:szCs w:val="24"/>
          <w:lang w:val="el-GR"/>
        </w:rPr>
        <w:t xml:space="preserve"> (</w:t>
      </w:r>
      <w:r w:rsidRPr="008275EC">
        <w:rPr>
          <w:rFonts w:eastAsia="Calibri"/>
          <w:szCs w:val="24"/>
          <w:lang w:val="el-GR"/>
        </w:rPr>
        <w:t xml:space="preserve">Πηγή: Το διάγραμμα δημιουργήθηκε στο </w:t>
      </w:r>
      <w:r w:rsidRPr="008275EC">
        <w:rPr>
          <w:rFonts w:eastAsia="Calibri"/>
          <w:szCs w:val="24"/>
          <w:lang w:val="en-GB"/>
        </w:rPr>
        <w:t>Microsoft</w:t>
      </w:r>
      <w:r w:rsidRPr="008275EC">
        <w:rPr>
          <w:rFonts w:eastAsia="Calibri"/>
          <w:szCs w:val="24"/>
          <w:lang w:val="el-GR"/>
        </w:rPr>
        <w:t xml:space="preserve"> </w:t>
      </w:r>
      <w:r w:rsidRPr="008275EC">
        <w:rPr>
          <w:rFonts w:eastAsia="Calibri"/>
          <w:szCs w:val="24"/>
          <w:lang w:val="en-GB"/>
        </w:rPr>
        <w:t>Office</w:t>
      </w:r>
      <w:r w:rsidRPr="008275EC">
        <w:rPr>
          <w:rFonts w:eastAsia="Calibri"/>
          <w:szCs w:val="24"/>
          <w:lang w:val="el-GR"/>
        </w:rPr>
        <w:t xml:space="preserve"> </w:t>
      </w:r>
      <w:r w:rsidRPr="008275EC">
        <w:rPr>
          <w:rFonts w:eastAsia="Calibri"/>
          <w:szCs w:val="24"/>
          <w:lang w:val="en-GB"/>
        </w:rPr>
        <w:t>excel</w:t>
      </w:r>
      <w:r w:rsidRPr="008275EC">
        <w:rPr>
          <w:rFonts w:eastAsia="Calibri"/>
          <w:szCs w:val="24"/>
          <w:lang w:val="el-GR"/>
        </w:rPr>
        <w:t xml:space="preserve"> από τον συγγραφέα</w:t>
      </w:r>
      <w:r w:rsidR="004B238A">
        <w:rPr>
          <w:rFonts w:eastAsia="Calibri"/>
          <w:szCs w:val="24"/>
          <w:lang w:val="el-GR"/>
        </w:rPr>
        <w:t>)</w:t>
      </w:r>
      <w:r w:rsidRPr="008275EC">
        <w:rPr>
          <w:rFonts w:eastAsia="Calibri"/>
          <w:szCs w:val="24"/>
          <w:lang w:val="el-GR"/>
        </w:rPr>
        <w:t>.</w:t>
      </w:r>
    </w:p>
    <w:bookmarkEnd w:id="75"/>
    <w:p w14:paraId="1A6A2E2E" w14:textId="77777777" w:rsidR="008275EC" w:rsidRPr="008275EC" w:rsidRDefault="008275EC" w:rsidP="008275EC">
      <w:pPr>
        <w:spacing w:before="200" w:after="200"/>
        <w:ind w:firstLine="0"/>
        <w:rPr>
          <w:rFonts w:eastAsia="Calibri"/>
          <w:sz w:val="32"/>
          <w:szCs w:val="32"/>
          <w:lang w:val="el-GR"/>
        </w:rPr>
      </w:pPr>
    </w:p>
    <w:p w14:paraId="767A687C" w14:textId="77777777" w:rsidR="008275EC" w:rsidRPr="008275EC" w:rsidRDefault="008275EC" w:rsidP="004B238A">
      <w:pPr>
        <w:pBdr>
          <w:top w:val="nil"/>
          <w:left w:val="nil"/>
          <w:bottom w:val="nil"/>
          <w:right w:val="nil"/>
          <w:between w:val="nil"/>
          <w:bar w:val="nil"/>
        </w:pBdr>
        <w:spacing w:before="200" w:after="200"/>
        <w:ind w:firstLine="709"/>
        <w:rPr>
          <w:rFonts w:eastAsia="Calibri"/>
          <w:szCs w:val="24"/>
          <w:lang w:val="el-GR"/>
        </w:rPr>
      </w:pPr>
      <w:bookmarkStart w:id="76" w:name="_Hlk84940639"/>
      <w:r w:rsidRPr="008275EC">
        <w:rPr>
          <w:rFonts w:eastAsia="Calibri"/>
          <w:szCs w:val="24"/>
          <w:lang w:val="el-GR"/>
        </w:rPr>
        <w:t xml:space="preserve">Όσον αφορά τον δείκτη </w:t>
      </w:r>
      <w:r w:rsidRPr="008275EC">
        <w:rPr>
          <w:rFonts w:eastAsia="Calibri"/>
          <w:szCs w:val="24"/>
        </w:rPr>
        <w:t>ROE</w:t>
      </w:r>
      <w:r w:rsidRPr="008275EC">
        <w:rPr>
          <w:rFonts w:eastAsia="Calibri"/>
          <w:szCs w:val="24"/>
          <w:lang w:val="el-GR"/>
        </w:rPr>
        <w:t xml:space="preserve">, πριν το ξέσπασμα της οικονομικής κρίσης (2005 έως 2008), για την τράπεζα </w:t>
      </w:r>
      <w:r w:rsidRPr="008275EC">
        <w:rPr>
          <w:rFonts w:eastAsia="Calibri"/>
          <w:szCs w:val="24"/>
        </w:rPr>
        <w:t>Eurobank</w:t>
      </w:r>
      <w:r w:rsidRPr="008275EC">
        <w:rPr>
          <w:rFonts w:eastAsia="Calibri"/>
          <w:szCs w:val="24"/>
          <w:lang w:val="el-GR"/>
        </w:rPr>
        <w:t xml:space="preserve">, ο δείκτης είχε μια καλή πορεία γύρω στο 15%. Στα επόμενα χρόνια, η  εν λόγω απόδοση μειώθηκε. Το 2010, ο δείκτης </w:t>
      </w:r>
      <w:r w:rsidRPr="008275EC">
        <w:rPr>
          <w:rFonts w:eastAsia="Calibri"/>
          <w:szCs w:val="24"/>
        </w:rPr>
        <w:t>ROE</w:t>
      </w:r>
      <w:r w:rsidRPr="008275EC">
        <w:rPr>
          <w:rFonts w:eastAsia="Calibri"/>
          <w:szCs w:val="24"/>
          <w:lang w:val="el-GR"/>
        </w:rPr>
        <w:t xml:space="preserve"> ήταν μόλις στο 1,40%. Ενώ, το 2011 εμφάνισε αρνητικές τιμές, κοντά στο -630%, ακολουθώντας τις υπέρογκες ζημιές. Το 2016, η τιμή του δείκτη ήταν θετική, κοντά 3,40%, αλλά στη συνέχεια μειώθηκε πάλι. Το 2020, η τιμή του δείκτη </w:t>
      </w:r>
      <w:r w:rsidRPr="008275EC">
        <w:rPr>
          <w:rFonts w:eastAsia="Calibri"/>
          <w:szCs w:val="24"/>
        </w:rPr>
        <w:t>ROE</w:t>
      </w:r>
      <w:r w:rsidRPr="008275EC">
        <w:rPr>
          <w:rFonts w:eastAsia="Calibri"/>
          <w:szCs w:val="24"/>
          <w:lang w:val="el-GR"/>
        </w:rPr>
        <w:t xml:space="preserve"> για την τράπεζα </w:t>
      </w:r>
      <w:r w:rsidRPr="008275EC">
        <w:rPr>
          <w:rFonts w:eastAsia="Calibri"/>
          <w:szCs w:val="24"/>
        </w:rPr>
        <w:t>Eurobank</w:t>
      </w:r>
      <w:r w:rsidRPr="008275EC">
        <w:rPr>
          <w:rFonts w:eastAsia="Calibri"/>
          <w:szCs w:val="24"/>
          <w:lang w:val="el-GR"/>
        </w:rPr>
        <w:t xml:space="preserve"> ήταν -23% (μείωση περίπου 1.300%, σε σχέση με το 2019). Καλύτερη χρονιά θεωρείται το 2006 (16,70%)</w:t>
      </w:r>
      <w:r w:rsidRPr="008275EC">
        <w:rPr>
          <w:rFonts w:eastAsia="Calibri"/>
          <w:szCs w:val="24"/>
          <w:vertAlign w:val="superscript"/>
          <w:lang w:val="el-GR"/>
        </w:rPr>
        <w:footnoteReference w:id="11"/>
      </w:r>
      <w:r w:rsidRPr="008275EC">
        <w:rPr>
          <w:rFonts w:eastAsia="Calibri"/>
          <w:szCs w:val="24"/>
          <w:lang w:val="el-GR"/>
        </w:rPr>
        <w:t xml:space="preserve">. Και στην περίπτωση της Τράπεζας </w:t>
      </w:r>
      <w:r w:rsidRPr="008275EC">
        <w:rPr>
          <w:rFonts w:eastAsia="Calibri"/>
          <w:szCs w:val="24"/>
        </w:rPr>
        <w:t>Eurobank</w:t>
      </w:r>
      <w:r w:rsidRPr="008275EC">
        <w:rPr>
          <w:rFonts w:eastAsia="Calibri"/>
          <w:szCs w:val="24"/>
          <w:lang w:val="el-GR"/>
        </w:rPr>
        <w:t>, πριν την οικονομική κρίση, ο οργανισμός μπορούσε να δημιουργήσει έσοδα και κέρδη, μέσα από τη χρήση των ιδίων κεφαλαίων της. Όμως, μετά το πέρας της κρίσης, ο οργανισμός αντιμετωπίζει προβλήματα, ως προς αυτή τη δυνατότητα.</w:t>
      </w:r>
    </w:p>
    <w:bookmarkEnd w:id="76"/>
    <w:p w14:paraId="51074BB7"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6ADB1994" w14:textId="29F273BA" w:rsidR="008275EC" w:rsidRPr="008275EC" w:rsidRDefault="008275EC" w:rsidP="008275EC">
      <w:pPr>
        <w:pBdr>
          <w:top w:val="nil"/>
          <w:left w:val="nil"/>
          <w:bottom w:val="nil"/>
          <w:right w:val="nil"/>
          <w:between w:val="nil"/>
          <w:bar w:val="nil"/>
        </w:pBdr>
        <w:spacing w:before="200" w:after="200"/>
        <w:ind w:firstLine="0"/>
        <w:rPr>
          <w:rFonts w:eastAsia="Calibri"/>
          <w:b/>
          <w:bCs/>
          <w:szCs w:val="24"/>
          <w:lang w:val="el-GR"/>
        </w:rPr>
      </w:pPr>
      <w:r w:rsidRPr="008275EC">
        <w:rPr>
          <w:rFonts w:eastAsia="Calibri"/>
          <w:noProof/>
          <w:szCs w:val="24"/>
          <w:lang w:val="el-GR" w:eastAsia="el-GR"/>
        </w:rPr>
        <w:lastRenderedPageBreak/>
        <w:drawing>
          <wp:anchor distT="0" distB="0" distL="114300" distR="114300" simplePos="0" relativeHeight="251670528" behindDoc="0" locked="0" layoutInCell="1" allowOverlap="1" wp14:anchorId="504638C9" wp14:editId="70597BAC">
            <wp:simplePos x="0" y="0"/>
            <wp:positionH relativeFrom="margin">
              <wp:align>center</wp:align>
            </wp:positionH>
            <wp:positionV relativeFrom="paragraph">
              <wp:posOffset>280</wp:posOffset>
            </wp:positionV>
            <wp:extent cx="6829425" cy="2362200"/>
            <wp:effectExtent l="0" t="0" r="9525"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829425" cy="2362200"/>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r w:rsidR="004B238A">
        <w:rPr>
          <w:rFonts w:eastAsia="Calibri"/>
          <w:b/>
          <w:bCs/>
          <w:szCs w:val="24"/>
          <w:lang w:val="el-GR"/>
        </w:rPr>
        <w:t>Σχήμα</w:t>
      </w:r>
      <w:r w:rsidRPr="008275EC">
        <w:rPr>
          <w:rFonts w:eastAsia="Calibri"/>
          <w:b/>
          <w:bCs/>
          <w:szCs w:val="24"/>
          <w:lang w:val="el-GR"/>
        </w:rPr>
        <w:t xml:space="preserve"> 7α</w:t>
      </w:r>
      <w:r w:rsidR="004B238A">
        <w:rPr>
          <w:rFonts w:eastAsia="Calibri"/>
          <w:b/>
          <w:bCs/>
          <w:szCs w:val="24"/>
          <w:lang w:val="el-GR"/>
        </w:rPr>
        <w:t>.</w:t>
      </w:r>
      <w:r w:rsidRPr="008275EC">
        <w:rPr>
          <w:rFonts w:eastAsia="Calibri"/>
          <w:b/>
          <w:bCs/>
          <w:szCs w:val="24"/>
          <w:lang w:val="el-GR"/>
        </w:rPr>
        <w:t xml:space="preserve"> </w:t>
      </w:r>
      <w:r w:rsidRPr="008275EC">
        <w:rPr>
          <w:rFonts w:eastAsia="Calibri"/>
          <w:szCs w:val="24"/>
          <w:lang w:val="el-GR"/>
        </w:rPr>
        <w:t>Δ</w:t>
      </w:r>
      <w:r w:rsidR="004B238A">
        <w:rPr>
          <w:rFonts w:eastAsia="Calibri"/>
          <w:szCs w:val="24"/>
          <w:lang w:val="el-GR"/>
        </w:rPr>
        <w:t>είκτης</w:t>
      </w:r>
      <w:r w:rsidRPr="008275EC">
        <w:rPr>
          <w:rFonts w:eastAsia="Calibri"/>
          <w:szCs w:val="24"/>
          <w:lang w:val="el-GR"/>
        </w:rPr>
        <w:t xml:space="preserve"> ROE – </w:t>
      </w:r>
      <w:bookmarkStart w:id="77" w:name="_Hlk88469691"/>
      <w:r w:rsidR="004B238A" w:rsidRPr="008275EC">
        <w:rPr>
          <w:rFonts w:eastAsia="Calibri"/>
          <w:szCs w:val="24"/>
          <w:lang w:val="el-GR"/>
        </w:rPr>
        <w:t>Τρ</w:t>
      </w:r>
      <w:r w:rsidR="004B238A">
        <w:rPr>
          <w:rFonts w:eastAsia="Calibri"/>
          <w:szCs w:val="24"/>
          <w:lang w:val="el-GR"/>
        </w:rPr>
        <w:t>ά</w:t>
      </w:r>
      <w:r w:rsidR="004B238A" w:rsidRPr="008275EC">
        <w:rPr>
          <w:rFonts w:eastAsia="Calibri"/>
          <w:szCs w:val="24"/>
          <w:lang w:val="el-GR"/>
        </w:rPr>
        <w:t>πεζα Eurobank Ergasias</w:t>
      </w:r>
      <w:bookmarkStart w:id="78" w:name="_Hlk84863207"/>
      <w:r w:rsidR="004B238A">
        <w:rPr>
          <w:rFonts w:eastAsia="Calibri"/>
          <w:b/>
          <w:bCs/>
          <w:szCs w:val="24"/>
          <w:lang w:val="el-GR"/>
        </w:rPr>
        <w:t xml:space="preserve"> (</w:t>
      </w:r>
      <w:r w:rsidRPr="008275EC">
        <w:rPr>
          <w:rFonts w:eastAsia="Calibri"/>
          <w:szCs w:val="24"/>
          <w:lang w:val="el-GR"/>
        </w:rPr>
        <w:t xml:space="preserve">Πηγή: Το διάγραμμα δημιουργήθηκε στο </w:t>
      </w:r>
      <w:r w:rsidRPr="008275EC">
        <w:rPr>
          <w:rFonts w:eastAsia="Calibri"/>
          <w:szCs w:val="24"/>
          <w:lang w:val="en-GB"/>
        </w:rPr>
        <w:t>Microsoft</w:t>
      </w:r>
      <w:r w:rsidRPr="008275EC">
        <w:rPr>
          <w:rFonts w:eastAsia="Calibri"/>
          <w:szCs w:val="24"/>
          <w:lang w:val="el-GR"/>
        </w:rPr>
        <w:t xml:space="preserve"> </w:t>
      </w:r>
      <w:r w:rsidRPr="008275EC">
        <w:rPr>
          <w:rFonts w:eastAsia="Calibri"/>
          <w:szCs w:val="24"/>
          <w:lang w:val="en-GB"/>
        </w:rPr>
        <w:t>Office</w:t>
      </w:r>
      <w:r w:rsidRPr="008275EC">
        <w:rPr>
          <w:rFonts w:eastAsia="Calibri"/>
          <w:szCs w:val="24"/>
          <w:lang w:val="el-GR"/>
        </w:rPr>
        <w:t xml:space="preserve"> </w:t>
      </w:r>
      <w:r w:rsidRPr="008275EC">
        <w:rPr>
          <w:rFonts w:eastAsia="Calibri"/>
          <w:szCs w:val="24"/>
          <w:lang w:val="en-GB"/>
        </w:rPr>
        <w:t>excel</w:t>
      </w:r>
      <w:r w:rsidRPr="008275EC">
        <w:rPr>
          <w:rFonts w:eastAsia="Calibri"/>
          <w:szCs w:val="24"/>
          <w:lang w:val="el-GR"/>
        </w:rPr>
        <w:t xml:space="preserve"> από τον συγγραφέα</w:t>
      </w:r>
      <w:r w:rsidR="004B238A">
        <w:rPr>
          <w:rFonts w:eastAsia="Calibri"/>
          <w:szCs w:val="24"/>
          <w:lang w:val="el-GR"/>
        </w:rPr>
        <w:t>)</w:t>
      </w:r>
      <w:r w:rsidRPr="008275EC">
        <w:rPr>
          <w:rFonts w:eastAsia="Calibri"/>
          <w:szCs w:val="24"/>
          <w:lang w:val="el-GR"/>
        </w:rPr>
        <w:t>.</w:t>
      </w:r>
      <w:bookmarkEnd w:id="77"/>
    </w:p>
    <w:bookmarkEnd w:id="78"/>
    <w:p w14:paraId="7271284A" w14:textId="323341F7" w:rsidR="008275EC" w:rsidRPr="008275EC" w:rsidRDefault="004B238A" w:rsidP="008275EC">
      <w:pPr>
        <w:pBdr>
          <w:top w:val="nil"/>
          <w:left w:val="nil"/>
          <w:bottom w:val="nil"/>
          <w:right w:val="nil"/>
          <w:between w:val="nil"/>
          <w:bar w:val="nil"/>
        </w:pBdr>
        <w:spacing w:before="200" w:after="200"/>
        <w:ind w:firstLine="0"/>
        <w:rPr>
          <w:rFonts w:eastAsia="Calibri"/>
          <w:szCs w:val="24"/>
          <w:lang w:val="el-GR"/>
        </w:rPr>
      </w:pPr>
      <w:r w:rsidRPr="008275EC">
        <w:rPr>
          <w:rFonts w:eastAsia="Calibri"/>
          <w:noProof/>
          <w:szCs w:val="24"/>
          <w:lang w:val="el-GR" w:eastAsia="el-GR"/>
        </w:rPr>
        <w:drawing>
          <wp:anchor distT="0" distB="0" distL="114300" distR="114300" simplePos="0" relativeHeight="251671552" behindDoc="0" locked="0" layoutInCell="1" allowOverlap="1" wp14:anchorId="00CEDCB4" wp14:editId="202C1260">
            <wp:simplePos x="0" y="0"/>
            <wp:positionH relativeFrom="margin">
              <wp:posOffset>-551342</wp:posOffset>
            </wp:positionH>
            <wp:positionV relativeFrom="paragraph">
              <wp:posOffset>410860</wp:posOffset>
            </wp:positionV>
            <wp:extent cx="6877050" cy="2314575"/>
            <wp:effectExtent l="0" t="0" r="0" b="9525"/>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877050" cy="231457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76E9C917" w14:textId="5DBC4BCD" w:rsidR="004B238A" w:rsidRDefault="004B238A" w:rsidP="004B238A">
      <w:pPr>
        <w:pBdr>
          <w:top w:val="nil"/>
          <w:left w:val="nil"/>
          <w:bottom w:val="nil"/>
          <w:right w:val="nil"/>
          <w:between w:val="nil"/>
          <w:bar w:val="nil"/>
        </w:pBdr>
        <w:spacing w:before="200" w:after="200"/>
        <w:ind w:firstLine="0"/>
        <w:rPr>
          <w:rFonts w:eastAsia="Calibri"/>
          <w:szCs w:val="24"/>
          <w:lang w:val="el-GR"/>
        </w:rPr>
      </w:pPr>
      <w:r>
        <w:rPr>
          <w:rFonts w:eastAsia="Calibri"/>
          <w:b/>
          <w:bCs/>
          <w:szCs w:val="24"/>
          <w:lang w:val="el-GR"/>
        </w:rPr>
        <w:t>Σχήμα</w:t>
      </w:r>
      <w:r w:rsidR="008275EC" w:rsidRPr="008275EC">
        <w:rPr>
          <w:rFonts w:eastAsia="Calibri"/>
          <w:b/>
          <w:bCs/>
          <w:szCs w:val="24"/>
          <w:lang w:val="el-GR"/>
        </w:rPr>
        <w:t xml:space="preserve"> 7β</w:t>
      </w:r>
      <w:r>
        <w:rPr>
          <w:rFonts w:eastAsia="Calibri"/>
          <w:b/>
          <w:bCs/>
          <w:szCs w:val="24"/>
          <w:lang w:val="el-GR"/>
        </w:rPr>
        <w:t>.</w:t>
      </w:r>
      <w:r w:rsidR="008275EC" w:rsidRPr="008275EC">
        <w:rPr>
          <w:rFonts w:eastAsia="Calibri"/>
          <w:b/>
          <w:bCs/>
          <w:szCs w:val="24"/>
          <w:lang w:val="el-GR"/>
        </w:rPr>
        <w:t xml:space="preserve"> </w:t>
      </w:r>
      <w:r w:rsidRPr="008275EC">
        <w:rPr>
          <w:rFonts w:eastAsia="Calibri"/>
          <w:szCs w:val="24"/>
          <w:lang w:val="el-GR"/>
        </w:rPr>
        <w:t>Ποσοστια</w:t>
      </w:r>
      <w:r>
        <w:rPr>
          <w:rFonts w:eastAsia="Calibri"/>
          <w:szCs w:val="24"/>
          <w:lang w:val="el-GR"/>
        </w:rPr>
        <w:t>ί</w:t>
      </w:r>
      <w:r w:rsidRPr="008275EC">
        <w:rPr>
          <w:rFonts w:eastAsia="Calibri"/>
          <w:szCs w:val="24"/>
          <w:lang w:val="el-GR"/>
        </w:rPr>
        <w:t>ες Μεταβολ</w:t>
      </w:r>
      <w:r>
        <w:rPr>
          <w:rFonts w:eastAsia="Calibri"/>
          <w:szCs w:val="24"/>
          <w:lang w:val="el-GR"/>
        </w:rPr>
        <w:t>έ</w:t>
      </w:r>
      <w:r w:rsidRPr="008275EC">
        <w:rPr>
          <w:rFonts w:eastAsia="Calibri"/>
          <w:szCs w:val="24"/>
          <w:lang w:val="el-GR"/>
        </w:rPr>
        <w:t>ς Δε</w:t>
      </w:r>
      <w:r>
        <w:rPr>
          <w:rFonts w:eastAsia="Calibri"/>
          <w:szCs w:val="24"/>
          <w:lang w:val="el-GR"/>
        </w:rPr>
        <w:t>ί</w:t>
      </w:r>
      <w:r w:rsidRPr="008275EC">
        <w:rPr>
          <w:rFonts w:eastAsia="Calibri"/>
          <w:szCs w:val="24"/>
          <w:lang w:val="el-GR"/>
        </w:rPr>
        <w:t xml:space="preserve">κτη </w:t>
      </w:r>
      <w:r w:rsidR="008275EC" w:rsidRPr="008275EC">
        <w:rPr>
          <w:rFonts w:eastAsia="Calibri"/>
          <w:szCs w:val="24"/>
          <w:lang w:val="el-GR"/>
        </w:rPr>
        <w:t xml:space="preserve">ROE – </w:t>
      </w:r>
      <w:r w:rsidRPr="008275EC">
        <w:rPr>
          <w:rFonts w:eastAsia="Calibri"/>
          <w:szCs w:val="24"/>
          <w:lang w:val="el-GR"/>
        </w:rPr>
        <w:t>Τρ</w:t>
      </w:r>
      <w:r>
        <w:rPr>
          <w:rFonts w:eastAsia="Calibri"/>
          <w:szCs w:val="24"/>
          <w:lang w:val="el-GR"/>
        </w:rPr>
        <w:t>ά</w:t>
      </w:r>
      <w:r w:rsidRPr="008275EC">
        <w:rPr>
          <w:rFonts w:eastAsia="Calibri"/>
          <w:szCs w:val="24"/>
          <w:lang w:val="el-GR"/>
        </w:rPr>
        <w:t>πεζα Eurobank Ergasias</w:t>
      </w:r>
      <w:r>
        <w:rPr>
          <w:rFonts w:eastAsia="Calibri"/>
          <w:b/>
          <w:bCs/>
          <w:szCs w:val="24"/>
          <w:lang w:val="el-GR"/>
        </w:rPr>
        <w:t xml:space="preserve"> (</w:t>
      </w:r>
      <w:r w:rsidRPr="008275EC">
        <w:rPr>
          <w:rFonts w:eastAsia="Calibri"/>
          <w:szCs w:val="24"/>
          <w:lang w:val="el-GR"/>
        </w:rPr>
        <w:t xml:space="preserve">Πηγή: Το διάγραμμα δημιουργήθηκε στο </w:t>
      </w:r>
      <w:r w:rsidRPr="008275EC">
        <w:rPr>
          <w:rFonts w:eastAsia="Calibri"/>
          <w:szCs w:val="24"/>
          <w:lang w:val="en-GB"/>
        </w:rPr>
        <w:t>Microsoft</w:t>
      </w:r>
      <w:r w:rsidRPr="008275EC">
        <w:rPr>
          <w:rFonts w:eastAsia="Calibri"/>
          <w:szCs w:val="24"/>
          <w:lang w:val="el-GR"/>
        </w:rPr>
        <w:t xml:space="preserve"> </w:t>
      </w:r>
      <w:r w:rsidRPr="008275EC">
        <w:rPr>
          <w:rFonts w:eastAsia="Calibri"/>
          <w:szCs w:val="24"/>
          <w:lang w:val="en-GB"/>
        </w:rPr>
        <w:t>Office</w:t>
      </w:r>
      <w:r w:rsidRPr="008275EC">
        <w:rPr>
          <w:rFonts w:eastAsia="Calibri"/>
          <w:szCs w:val="24"/>
          <w:lang w:val="el-GR"/>
        </w:rPr>
        <w:t xml:space="preserve"> </w:t>
      </w:r>
      <w:r w:rsidRPr="008275EC">
        <w:rPr>
          <w:rFonts w:eastAsia="Calibri"/>
          <w:szCs w:val="24"/>
          <w:lang w:val="en-GB"/>
        </w:rPr>
        <w:t>excel</w:t>
      </w:r>
      <w:r w:rsidRPr="008275EC">
        <w:rPr>
          <w:rFonts w:eastAsia="Calibri"/>
          <w:szCs w:val="24"/>
          <w:lang w:val="el-GR"/>
        </w:rPr>
        <w:t xml:space="preserve"> από τον συγγραφέα</w:t>
      </w:r>
      <w:r>
        <w:rPr>
          <w:rFonts w:eastAsia="Calibri"/>
          <w:szCs w:val="24"/>
          <w:lang w:val="el-GR"/>
        </w:rPr>
        <w:t>)</w:t>
      </w:r>
      <w:r w:rsidRPr="008275EC">
        <w:rPr>
          <w:rFonts w:eastAsia="Calibri"/>
          <w:szCs w:val="24"/>
          <w:lang w:val="el-GR"/>
        </w:rPr>
        <w:t>.</w:t>
      </w:r>
    </w:p>
    <w:p w14:paraId="0497DE2E" w14:textId="77777777" w:rsidR="004B238A" w:rsidRDefault="004B238A" w:rsidP="008275EC">
      <w:pPr>
        <w:pBdr>
          <w:top w:val="nil"/>
          <w:left w:val="nil"/>
          <w:bottom w:val="nil"/>
          <w:right w:val="nil"/>
          <w:between w:val="nil"/>
          <w:bar w:val="nil"/>
        </w:pBdr>
        <w:spacing w:before="200" w:after="200"/>
        <w:ind w:firstLine="0"/>
        <w:rPr>
          <w:rFonts w:eastAsia="Calibri"/>
          <w:szCs w:val="24"/>
          <w:lang w:val="el-GR"/>
        </w:rPr>
      </w:pPr>
    </w:p>
    <w:p w14:paraId="639452EE" w14:textId="77777777" w:rsidR="004B238A" w:rsidRDefault="008275EC" w:rsidP="004B238A">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Κατά τη διάρκεια της υπό εξέταση περιόδους (2005 – 2020), το σύνολο του ενεργητικού της Τράπεζας </w:t>
      </w:r>
      <w:r w:rsidRPr="008275EC">
        <w:rPr>
          <w:rFonts w:eastAsia="Calibri"/>
          <w:szCs w:val="24"/>
        </w:rPr>
        <w:t>Eurobank</w:t>
      </w:r>
      <w:r w:rsidRPr="008275EC">
        <w:rPr>
          <w:rFonts w:eastAsia="Calibri"/>
          <w:szCs w:val="24"/>
          <w:lang w:val="el-GR"/>
        </w:rPr>
        <w:t xml:space="preserve"> αυξήθηκε από 41.724.000.000 € (το 2005) σε 67.728.000.000 € (το 2020), αύξηση περίπου 60%. Οι συνολικές υποχρεώσεις της τράπεζας αυξήθηκαν από 38.608.000.000 € (το 2005) σε 62.483.000.000.000 € (το 2020), αύξηση περίπου 60%. Οι συνολικές υποχρεώσεις της </w:t>
      </w:r>
      <w:r w:rsidRPr="008275EC">
        <w:rPr>
          <w:rFonts w:eastAsia="Calibri"/>
          <w:szCs w:val="24"/>
        </w:rPr>
        <w:t>Eurobank</w:t>
      </w:r>
      <w:r w:rsidRPr="008275EC">
        <w:rPr>
          <w:rFonts w:eastAsia="Calibri"/>
          <w:szCs w:val="24"/>
          <w:lang w:val="el-GR"/>
        </w:rPr>
        <w:t xml:space="preserve"> αυξήθηκαν όμοια με τις σύνολο των περιουσιακών της </w:t>
      </w:r>
      <w:r w:rsidRPr="008275EC">
        <w:rPr>
          <w:rFonts w:eastAsia="Calibri"/>
          <w:szCs w:val="24"/>
          <w:lang w:val="el-GR"/>
        </w:rPr>
        <w:lastRenderedPageBreak/>
        <w:t>στοιχείων. Αντίστοιχη αύξηση είχαν και οι βραχυπρόθεσμες υποχρεώσεις, 60% (από 38.056.000.000 € το 2005, σε 61.286.000.000 € το 2020). Κατά τη διάρκεια των υπό εξέταση ετών, το σύνολο των ιδίων κεφαλαίων της τράπεζας αυξήθηκαν κατά σχεδόν 70%, από 3.116.000.000 € (2005) σε 5.245.000.000 € (2020).</w:t>
      </w:r>
    </w:p>
    <w:p w14:paraId="75A7DDC4" w14:textId="34029ED6" w:rsidR="008275EC" w:rsidRPr="008275EC" w:rsidRDefault="008275EC" w:rsidP="004B238A">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Σχετικά, με την τιμή της μετοχής της Τράπεζας </w:t>
      </w:r>
      <w:r w:rsidRPr="008275EC">
        <w:rPr>
          <w:rFonts w:eastAsia="Calibri"/>
          <w:szCs w:val="24"/>
        </w:rPr>
        <w:t>Eurobank</w:t>
      </w:r>
      <w:r w:rsidRPr="008275EC">
        <w:rPr>
          <w:rFonts w:eastAsia="Calibri"/>
          <w:szCs w:val="24"/>
          <w:lang w:val="el-GR"/>
        </w:rPr>
        <w:t xml:space="preserve"> </w:t>
      </w:r>
      <w:r w:rsidRPr="008275EC">
        <w:rPr>
          <w:rFonts w:eastAsia="Calibri"/>
          <w:szCs w:val="24"/>
        </w:rPr>
        <w:t>Ergasias</w:t>
      </w:r>
      <w:r w:rsidRPr="008275EC">
        <w:rPr>
          <w:rFonts w:eastAsia="Calibri"/>
          <w:szCs w:val="24"/>
          <w:lang w:val="el-GR"/>
        </w:rPr>
        <w:t xml:space="preserve">, αυτή έχει υποστεί μια τεράστια μείωση τα τελευταία χρόνια. Πλέον, η τιμή της μετοχής της </w:t>
      </w:r>
      <w:r w:rsidRPr="008275EC">
        <w:rPr>
          <w:rFonts w:eastAsia="Calibri"/>
          <w:szCs w:val="24"/>
        </w:rPr>
        <w:t>Eurobank</w:t>
      </w:r>
      <w:r w:rsidRPr="008275EC">
        <w:rPr>
          <w:rFonts w:eastAsia="Calibri"/>
          <w:szCs w:val="24"/>
          <w:lang w:val="el-GR"/>
        </w:rPr>
        <w:t xml:space="preserve"> είναι περίπου 1 € (έχει αυξηθεί σε σχέση με τα προηγούμενα έτη). Το 2005, η τιμή της μετοχής ήταν περίπου 14.000 €, και συνέχιζε να αυξάνεται μέχρι το 2008 (19.500 €). Από εκείνα τα χρόνια και ύστερα άρχισαν οι μειώσεις, με μια ανάκαμψη το 2010. Η τιμή της μετοχής της </w:t>
      </w:r>
      <w:r w:rsidRPr="008275EC">
        <w:rPr>
          <w:rFonts w:eastAsia="Calibri"/>
          <w:szCs w:val="24"/>
        </w:rPr>
        <w:t>Eurobank</w:t>
      </w:r>
      <w:r w:rsidRPr="008275EC">
        <w:rPr>
          <w:rFonts w:eastAsia="Calibri"/>
          <w:szCs w:val="24"/>
          <w:lang w:val="el-GR"/>
        </w:rPr>
        <w:t xml:space="preserve"> δεν έχει ανακτήσει τα επίπεδα που είχε πριν την εμφάνιση της οικονομικής κρίσης.</w:t>
      </w:r>
    </w:p>
    <w:p w14:paraId="43F39B5E" w14:textId="5373DF60" w:rsidR="008275EC" w:rsidRPr="008275EC" w:rsidRDefault="004B238A" w:rsidP="008275EC">
      <w:pPr>
        <w:pBdr>
          <w:top w:val="nil"/>
          <w:left w:val="nil"/>
          <w:bottom w:val="nil"/>
          <w:right w:val="nil"/>
          <w:between w:val="nil"/>
          <w:bar w:val="nil"/>
        </w:pBdr>
        <w:spacing w:before="200" w:after="200"/>
        <w:ind w:firstLine="0"/>
        <w:rPr>
          <w:rFonts w:eastAsia="Calibri"/>
          <w:szCs w:val="24"/>
          <w:lang w:val="el-GR"/>
        </w:rPr>
      </w:pPr>
      <w:r w:rsidRPr="008275EC">
        <w:rPr>
          <w:rFonts w:eastAsia="Calibri"/>
          <w:noProof/>
          <w:szCs w:val="24"/>
          <w:lang w:val="el-GR" w:eastAsia="el-GR"/>
        </w:rPr>
        <w:drawing>
          <wp:anchor distT="0" distB="0" distL="114300" distR="114300" simplePos="0" relativeHeight="251672576" behindDoc="0" locked="0" layoutInCell="1" allowOverlap="1" wp14:anchorId="58782B08" wp14:editId="1C972ADC">
            <wp:simplePos x="0" y="0"/>
            <wp:positionH relativeFrom="margin">
              <wp:posOffset>-498180</wp:posOffset>
            </wp:positionH>
            <wp:positionV relativeFrom="paragraph">
              <wp:posOffset>356161</wp:posOffset>
            </wp:positionV>
            <wp:extent cx="6838950" cy="2228850"/>
            <wp:effectExtent l="19050" t="19050" r="19050" b="1905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838950" cy="2228850"/>
                    </a:xfrm>
                    <a:prstGeom prst="roundRect">
                      <a:avLst>
                        <a:gd name="adj" fmla="val 8594"/>
                      </a:avLst>
                    </a:prstGeom>
                    <a:solidFill>
                      <a:srgbClr val="FFFFFF">
                        <a:shade val="85000"/>
                      </a:srgbClr>
                    </a:solidFill>
                    <a:ln>
                      <a:solidFill>
                        <a:srgbClr val="000000"/>
                      </a:solidFill>
                    </a:ln>
                    <a:effectLst/>
                  </pic:spPr>
                </pic:pic>
              </a:graphicData>
            </a:graphic>
            <wp14:sizeRelH relativeFrom="page">
              <wp14:pctWidth>0</wp14:pctWidth>
            </wp14:sizeRelH>
            <wp14:sizeRelV relativeFrom="page">
              <wp14:pctHeight>0</wp14:pctHeight>
            </wp14:sizeRelV>
          </wp:anchor>
        </w:drawing>
      </w:r>
    </w:p>
    <w:p w14:paraId="63A0AC3D" w14:textId="4208A4C9" w:rsidR="008275EC" w:rsidRPr="008275EC" w:rsidRDefault="004B238A" w:rsidP="008275EC">
      <w:pPr>
        <w:pBdr>
          <w:top w:val="nil"/>
          <w:left w:val="nil"/>
          <w:bottom w:val="nil"/>
          <w:right w:val="nil"/>
          <w:between w:val="nil"/>
          <w:bar w:val="nil"/>
        </w:pBdr>
        <w:spacing w:before="200" w:after="200"/>
        <w:ind w:firstLine="0"/>
        <w:rPr>
          <w:rFonts w:eastAsia="Calibri"/>
          <w:szCs w:val="24"/>
          <w:lang w:val="el-GR"/>
        </w:rPr>
      </w:pPr>
      <w:r>
        <w:rPr>
          <w:rFonts w:eastAsia="Calibri"/>
          <w:b/>
          <w:bCs/>
          <w:szCs w:val="24"/>
          <w:lang w:val="el-GR"/>
        </w:rPr>
        <w:t>Σχήμα</w:t>
      </w:r>
      <w:r w:rsidR="008275EC" w:rsidRPr="008275EC">
        <w:rPr>
          <w:rFonts w:eastAsia="Calibri"/>
          <w:b/>
          <w:bCs/>
          <w:szCs w:val="24"/>
          <w:lang w:val="el-GR"/>
        </w:rPr>
        <w:t xml:space="preserve"> 8</w:t>
      </w:r>
      <w:r>
        <w:rPr>
          <w:rFonts w:eastAsia="Calibri"/>
          <w:b/>
          <w:bCs/>
          <w:szCs w:val="24"/>
          <w:lang w:val="el-GR"/>
        </w:rPr>
        <w:t>.</w:t>
      </w:r>
      <w:r w:rsidR="008275EC" w:rsidRPr="008275EC">
        <w:rPr>
          <w:rFonts w:eastAsia="Calibri"/>
          <w:b/>
          <w:bCs/>
          <w:szCs w:val="24"/>
          <w:lang w:val="el-GR"/>
        </w:rPr>
        <w:t xml:space="preserve"> </w:t>
      </w:r>
      <w:r w:rsidRPr="008275EC">
        <w:rPr>
          <w:rFonts w:eastAsia="Calibri"/>
          <w:szCs w:val="24"/>
          <w:lang w:val="el-GR"/>
        </w:rPr>
        <w:t>Τιμ</w:t>
      </w:r>
      <w:r>
        <w:rPr>
          <w:rFonts w:eastAsia="Calibri"/>
          <w:szCs w:val="24"/>
          <w:lang w:val="el-GR"/>
        </w:rPr>
        <w:t>ή</w:t>
      </w:r>
      <w:r w:rsidRPr="008275EC">
        <w:rPr>
          <w:rFonts w:eastAsia="Calibri"/>
          <w:szCs w:val="24"/>
          <w:lang w:val="el-GR"/>
        </w:rPr>
        <w:t xml:space="preserve"> Μετοχ</w:t>
      </w:r>
      <w:r>
        <w:rPr>
          <w:rFonts w:eastAsia="Calibri"/>
          <w:szCs w:val="24"/>
          <w:lang w:val="el-GR"/>
        </w:rPr>
        <w:t>ή</w:t>
      </w:r>
      <w:r w:rsidRPr="008275EC">
        <w:rPr>
          <w:rFonts w:eastAsia="Calibri"/>
          <w:szCs w:val="24"/>
          <w:lang w:val="el-GR"/>
        </w:rPr>
        <w:t xml:space="preserve">ς (2005 </w:t>
      </w:r>
      <w:r>
        <w:rPr>
          <w:rFonts w:eastAsia="Calibri"/>
          <w:szCs w:val="24"/>
          <w:lang w:val="el-GR"/>
        </w:rPr>
        <w:t>έως</w:t>
      </w:r>
      <w:r w:rsidRPr="008275EC">
        <w:rPr>
          <w:rFonts w:eastAsia="Calibri"/>
          <w:szCs w:val="24"/>
          <w:lang w:val="el-GR"/>
        </w:rPr>
        <w:t xml:space="preserve"> 2020) – Τρ</w:t>
      </w:r>
      <w:r>
        <w:rPr>
          <w:rFonts w:eastAsia="Calibri"/>
          <w:szCs w:val="24"/>
          <w:lang w:val="el-GR"/>
        </w:rPr>
        <w:t>ά</w:t>
      </w:r>
      <w:r w:rsidRPr="008275EC">
        <w:rPr>
          <w:rFonts w:eastAsia="Calibri"/>
          <w:szCs w:val="24"/>
          <w:lang w:val="el-GR"/>
        </w:rPr>
        <w:t>πεζα Eurobank Ergasias</w:t>
      </w:r>
      <w:r>
        <w:rPr>
          <w:rFonts w:eastAsia="Calibri"/>
          <w:szCs w:val="24"/>
          <w:lang w:val="el-GR"/>
        </w:rPr>
        <w:t xml:space="preserve"> [</w:t>
      </w:r>
      <w:r w:rsidR="008275EC" w:rsidRPr="008275EC">
        <w:rPr>
          <w:rFonts w:eastAsia="Calibri"/>
          <w:szCs w:val="24"/>
          <w:lang w:val="el-GR"/>
        </w:rPr>
        <w:t>ΠΗΓΗ: (capital.gr, 2021)</w:t>
      </w:r>
      <w:r>
        <w:rPr>
          <w:rFonts w:eastAsia="Calibri"/>
          <w:szCs w:val="24"/>
          <w:lang w:val="el-GR"/>
        </w:rPr>
        <w:t>].</w:t>
      </w:r>
    </w:p>
    <w:p w14:paraId="25FC919A"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656A9AEF" w14:textId="6E0121EA" w:rsidR="008275EC" w:rsidRPr="008275EC" w:rsidRDefault="004B238A" w:rsidP="004B238A">
      <w:pPr>
        <w:pBdr>
          <w:top w:val="nil"/>
          <w:left w:val="nil"/>
          <w:bottom w:val="nil"/>
          <w:right w:val="nil"/>
          <w:between w:val="nil"/>
          <w:bar w:val="nil"/>
        </w:pBdr>
        <w:spacing w:before="200" w:after="200"/>
        <w:ind w:firstLine="0"/>
        <w:jc w:val="center"/>
        <w:rPr>
          <w:rFonts w:eastAsia="Calibri"/>
          <w:szCs w:val="24"/>
          <w:lang w:val="el-GR"/>
        </w:rPr>
      </w:pPr>
      <w:r w:rsidRPr="004B238A">
        <w:rPr>
          <w:rFonts w:eastAsia="Calibri"/>
          <w:szCs w:val="24"/>
          <w:lang w:val="el-GR"/>
        </w:rPr>
        <w:t>4</w:t>
      </w:r>
      <w:r w:rsidR="008275EC" w:rsidRPr="008275EC">
        <w:rPr>
          <w:rFonts w:eastAsia="Calibri"/>
          <w:szCs w:val="24"/>
          <w:lang w:val="el-GR"/>
        </w:rPr>
        <w:t>.1.3. ΤΡΑΠΕΖΑ ΠΕΙΡΑΙΩΣ</w:t>
      </w:r>
    </w:p>
    <w:p w14:paraId="45C6A26F" w14:textId="77777777" w:rsidR="008275EC" w:rsidRPr="008275EC" w:rsidRDefault="008275EC" w:rsidP="004B238A">
      <w:pPr>
        <w:spacing w:before="200" w:after="200"/>
        <w:ind w:firstLine="709"/>
        <w:rPr>
          <w:rFonts w:eastAsia="Calibri"/>
          <w:szCs w:val="24"/>
          <w:lang w:val="el-GR"/>
        </w:rPr>
      </w:pPr>
      <w:r w:rsidRPr="008275EC">
        <w:rPr>
          <w:rFonts w:eastAsia="Calibri"/>
          <w:szCs w:val="24"/>
          <w:lang w:val="el-GR"/>
        </w:rPr>
        <w:t xml:space="preserve">Όσον αφορά την Τράπεζα Πειραιώς, κατά την εξεταζόμενη περίοδο (2005 – 2020), έχει και αυτή σημαντικές μεταβολές στα κέρδη της. Το 2020, η τράπεζα είχε ζημιές ύψους 668.000.000 € (μείωση περίπου κατά 340%, σε σχέση με  το 2019, όπου η Τράπεζα Πειραιώς </w:t>
      </w:r>
      <w:r w:rsidRPr="008275EC">
        <w:rPr>
          <w:rFonts w:eastAsia="Calibri"/>
          <w:szCs w:val="24"/>
          <w:lang w:val="el-GR"/>
        </w:rPr>
        <w:lastRenderedPageBreak/>
        <w:t>εμφάνισε κέρδη 276.000.000 €). Κατά τα χρόνια πριν το ξέσπασμα της οικονομικής κρίσης, η Τράπεζα Πειραιώς εμφάνιζε κέρδη. Συγκεκριμένα, το 2005, η τράπεζα εμφάνισε κέρδη ύψους 282.727.000 €. Τα εν λόγω κέρδη συνέχισαν να αυξάνονται έως το 2007, αγγίζοντας τα 651.459.000 €. Από το 2008 και ύστερα, άρχισαν οι μειώσεις των κερδών. Ενώ, το 2010 εμφανίστηκαν οι πρώτες ζημιές ύψους 21.191.000 €. Στα χρόνια που ακολούθησαν, η Τράπεζα Πειραιώς μόνο δύο χρονιές εμφάνισε πάλι κέρδη, το 2013</w:t>
      </w:r>
      <w:r w:rsidRPr="008275EC">
        <w:rPr>
          <w:rFonts w:eastAsia="Calibri"/>
          <w:szCs w:val="24"/>
          <w:vertAlign w:val="superscript"/>
          <w:lang w:val="el-GR"/>
        </w:rPr>
        <w:footnoteReference w:id="12"/>
      </w:r>
      <w:r w:rsidRPr="008275EC">
        <w:rPr>
          <w:rFonts w:eastAsia="Calibri"/>
          <w:szCs w:val="24"/>
          <w:lang w:val="el-GR"/>
        </w:rPr>
        <w:t xml:space="preserve"> (2.546.159.000 €) και το 2019 (276.000.000 €). Για την ακρίβεια, το 2013 ήταν η καλύτερη χρονιά όσον αφορά την κερδοφορία της Τράπεζας Πειραιώς. Η χειρότερη χρονιά ήταν το 2011, όπου ο οργανισμός εμφάνισε ζημιές ύψους 6.618.119.000 €.</w:t>
      </w:r>
    </w:p>
    <w:p w14:paraId="70524D78" w14:textId="4B61107E" w:rsidR="008275EC" w:rsidRPr="008275EC" w:rsidRDefault="004B238A" w:rsidP="008275EC">
      <w:pPr>
        <w:spacing w:before="200" w:after="200"/>
        <w:ind w:firstLine="0"/>
        <w:rPr>
          <w:rFonts w:eastAsia="Calibri"/>
          <w:szCs w:val="24"/>
          <w:lang w:val="el-GR"/>
        </w:rPr>
      </w:pPr>
      <w:r w:rsidRPr="008275EC">
        <w:rPr>
          <w:rFonts w:eastAsia="Calibri"/>
          <w:noProof/>
          <w:szCs w:val="24"/>
          <w:lang w:val="el-GR" w:eastAsia="el-GR"/>
        </w:rPr>
        <w:drawing>
          <wp:anchor distT="0" distB="0" distL="114300" distR="114300" simplePos="0" relativeHeight="251673600" behindDoc="0" locked="0" layoutInCell="1" allowOverlap="1" wp14:anchorId="48EC571C" wp14:editId="1C63E55A">
            <wp:simplePos x="0" y="0"/>
            <wp:positionH relativeFrom="margin">
              <wp:posOffset>-501502</wp:posOffset>
            </wp:positionH>
            <wp:positionV relativeFrom="paragraph">
              <wp:posOffset>355570</wp:posOffset>
            </wp:positionV>
            <wp:extent cx="6810375" cy="2562225"/>
            <wp:effectExtent l="0" t="0" r="9525" b="9525"/>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810375" cy="256222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73853AAE" w14:textId="1D6A6C67" w:rsidR="008275EC" w:rsidRPr="008275EC" w:rsidRDefault="004B238A" w:rsidP="004B238A">
      <w:pPr>
        <w:spacing w:before="200" w:after="200"/>
        <w:ind w:firstLine="0"/>
        <w:rPr>
          <w:rFonts w:eastAsia="Calibri"/>
          <w:szCs w:val="24"/>
          <w:lang w:val="el-GR"/>
        </w:rPr>
      </w:pPr>
      <w:r w:rsidRPr="004B238A">
        <w:rPr>
          <w:rFonts w:eastAsia="Calibri"/>
          <w:b/>
          <w:bCs/>
          <w:szCs w:val="24"/>
          <w:lang w:val="el-GR"/>
        </w:rPr>
        <w:t xml:space="preserve">Σχήμα </w:t>
      </w:r>
      <w:r w:rsidR="008275EC" w:rsidRPr="008275EC">
        <w:rPr>
          <w:rFonts w:eastAsia="Calibri"/>
          <w:b/>
          <w:bCs/>
          <w:szCs w:val="24"/>
          <w:lang w:val="el-GR"/>
        </w:rPr>
        <w:t>9α</w:t>
      </w:r>
      <w:r w:rsidRPr="004B238A">
        <w:rPr>
          <w:rFonts w:eastAsia="Calibri"/>
          <w:b/>
          <w:bCs/>
          <w:szCs w:val="24"/>
          <w:lang w:val="el-GR"/>
        </w:rPr>
        <w:t>.</w:t>
      </w:r>
      <w:r w:rsidR="008275EC" w:rsidRPr="008275EC">
        <w:rPr>
          <w:rFonts w:eastAsia="Calibri"/>
          <w:b/>
          <w:bCs/>
          <w:szCs w:val="24"/>
          <w:lang w:val="el-GR"/>
        </w:rPr>
        <w:t xml:space="preserve"> </w:t>
      </w:r>
      <w:r w:rsidRPr="008275EC">
        <w:rPr>
          <w:rFonts w:eastAsia="Calibri"/>
          <w:szCs w:val="24"/>
          <w:lang w:val="el-GR"/>
        </w:rPr>
        <w:t>Καθαρ</w:t>
      </w:r>
      <w:r>
        <w:rPr>
          <w:rFonts w:eastAsia="Calibri"/>
          <w:szCs w:val="24"/>
          <w:lang w:val="el-GR"/>
        </w:rPr>
        <w:t>ά</w:t>
      </w:r>
      <w:r w:rsidRPr="008275EC">
        <w:rPr>
          <w:rFonts w:eastAsia="Calibri"/>
          <w:szCs w:val="24"/>
          <w:lang w:val="el-GR"/>
        </w:rPr>
        <w:t xml:space="preserve"> Κ</w:t>
      </w:r>
      <w:r>
        <w:rPr>
          <w:rFonts w:eastAsia="Calibri"/>
          <w:szCs w:val="24"/>
          <w:lang w:val="el-GR"/>
        </w:rPr>
        <w:t>έ</w:t>
      </w:r>
      <w:r w:rsidRPr="008275EC">
        <w:rPr>
          <w:rFonts w:eastAsia="Calibri"/>
          <w:szCs w:val="24"/>
          <w:lang w:val="el-GR"/>
        </w:rPr>
        <w:t>ρδη/ Ζημι</w:t>
      </w:r>
      <w:r>
        <w:rPr>
          <w:rFonts w:eastAsia="Calibri"/>
          <w:szCs w:val="24"/>
          <w:lang w:val="el-GR"/>
        </w:rPr>
        <w:t>έ</w:t>
      </w:r>
      <w:r w:rsidRPr="008275EC">
        <w:rPr>
          <w:rFonts w:eastAsia="Calibri"/>
          <w:szCs w:val="24"/>
          <w:lang w:val="el-GR"/>
        </w:rPr>
        <w:t xml:space="preserve">ς – </w:t>
      </w:r>
      <w:bookmarkStart w:id="79" w:name="_Hlk84930365"/>
      <w:r w:rsidRPr="008275EC">
        <w:rPr>
          <w:rFonts w:eastAsia="Calibri"/>
          <w:szCs w:val="24"/>
          <w:lang w:val="el-GR"/>
        </w:rPr>
        <w:t>Τρ</w:t>
      </w:r>
      <w:r>
        <w:rPr>
          <w:rFonts w:eastAsia="Calibri"/>
          <w:szCs w:val="24"/>
          <w:lang w:val="el-GR"/>
        </w:rPr>
        <w:t>ά</w:t>
      </w:r>
      <w:r w:rsidRPr="008275EC">
        <w:rPr>
          <w:rFonts w:eastAsia="Calibri"/>
          <w:szCs w:val="24"/>
          <w:lang w:val="el-GR"/>
        </w:rPr>
        <w:t>πεζα Πειραι</w:t>
      </w:r>
      <w:r>
        <w:rPr>
          <w:rFonts w:eastAsia="Calibri"/>
          <w:szCs w:val="24"/>
          <w:lang w:val="el-GR"/>
        </w:rPr>
        <w:t>ώ</w:t>
      </w:r>
      <w:r w:rsidRPr="008275EC">
        <w:rPr>
          <w:rFonts w:eastAsia="Calibri"/>
          <w:szCs w:val="24"/>
          <w:lang w:val="el-GR"/>
        </w:rPr>
        <w:t>ς</w:t>
      </w:r>
      <w:bookmarkEnd w:id="79"/>
      <w:r w:rsidR="008275EC" w:rsidRPr="008275EC">
        <w:rPr>
          <w:rFonts w:eastAsia="Calibri"/>
          <w:sz w:val="16"/>
          <w:szCs w:val="16"/>
          <w:vertAlign w:val="superscript"/>
          <w:lang w:val="el-GR"/>
        </w:rPr>
        <w:footnoteReference w:id="13"/>
      </w:r>
      <w:bookmarkStart w:id="80" w:name="_Hlk84930603"/>
      <w:r>
        <w:rPr>
          <w:rFonts w:eastAsia="Calibri"/>
          <w:szCs w:val="24"/>
          <w:lang w:val="el-GR"/>
        </w:rPr>
        <w:t xml:space="preserve"> (</w:t>
      </w:r>
      <w:r w:rsidR="008275EC" w:rsidRPr="008275EC">
        <w:rPr>
          <w:rFonts w:eastAsia="Calibri"/>
          <w:szCs w:val="24"/>
          <w:lang w:val="el-GR"/>
        </w:rPr>
        <w:t xml:space="preserve">Πηγή: Το διάγραμμα δημιουργήθηκε στο </w:t>
      </w:r>
      <w:r w:rsidR="008275EC" w:rsidRPr="008275EC">
        <w:rPr>
          <w:rFonts w:eastAsia="Calibri"/>
          <w:szCs w:val="24"/>
          <w:lang w:val="en-GB"/>
        </w:rPr>
        <w:t>Microsoft</w:t>
      </w:r>
      <w:r w:rsidR="008275EC" w:rsidRPr="008275EC">
        <w:rPr>
          <w:rFonts w:eastAsia="Calibri"/>
          <w:szCs w:val="24"/>
          <w:lang w:val="el-GR"/>
        </w:rPr>
        <w:t xml:space="preserve"> </w:t>
      </w:r>
      <w:r w:rsidR="008275EC" w:rsidRPr="008275EC">
        <w:rPr>
          <w:rFonts w:eastAsia="Calibri"/>
          <w:szCs w:val="24"/>
          <w:lang w:val="en-GB"/>
        </w:rPr>
        <w:t>Office</w:t>
      </w:r>
      <w:r w:rsidR="008275EC" w:rsidRPr="008275EC">
        <w:rPr>
          <w:rFonts w:eastAsia="Calibri"/>
          <w:szCs w:val="24"/>
          <w:lang w:val="el-GR"/>
        </w:rPr>
        <w:t xml:space="preserve"> </w:t>
      </w:r>
      <w:r w:rsidR="008275EC" w:rsidRPr="008275EC">
        <w:rPr>
          <w:rFonts w:eastAsia="Calibri"/>
          <w:szCs w:val="24"/>
          <w:lang w:val="en-GB"/>
        </w:rPr>
        <w:t>excel</w:t>
      </w:r>
      <w:r w:rsidR="008275EC" w:rsidRPr="008275EC">
        <w:rPr>
          <w:rFonts w:eastAsia="Calibri"/>
          <w:szCs w:val="24"/>
          <w:lang w:val="el-GR"/>
        </w:rPr>
        <w:t xml:space="preserve"> από τον συγγραφέα</w:t>
      </w:r>
      <w:r>
        <w:rPr>
          <w:rFonts w:eastAsia="Calibri"/>
          <w:szCs w:val="24"/>
          <w:lang w:val="el-GR"/>
        </w:rPr>
        <w:t>)</w:t>
      </w:r>
      <w:r w:rsidR="008275EC" w:rsidRPr="008275EC">
        <w:rPr>
          <w:rFonts w:eastAsia="Calibri"/>
          <w:szCs w:val="24"/>
          <w:lang w:val="el-GR"/>
        </w:rPr>
        <w:t>.</w:t>
      </w:r>
    </w:p>
    <w:bookmarkEnd w:id="80"/>
    <w:p w14:paraId="592922A4" w14:textId="77777777" w:rsidR="008275EC" w:rsidRPr="008275EC" w:rsidRDefault="008275EC" w:rsidP="008275EC">
      <w:pPr>
        <w:spacing w:before="200" w:after="200"/>
        <w:ind w:firstLine="0"/>
        <w:rPr>
          <w:rFonts w:eastAsia="Calibri"/>
          <w:szCs w:val="24"/>
          <w:lang w:val="el-GR"/>
        </w:rPr>
      </w:pPr>
    </w:p>
    <w:p w14:paraId="1A22CA1E" w14:textId="77777777" w:rsidR="008275EC" w:rsidRPr="008275EC" w:rsidRDefault="008275EC" w:rsidP="008275EC">
      <w:pPr>
        <w:spacing w:before="200" w:after="200"/>
        <w:ind w:firstLine="0"/>
        <w:rPr>
          <w:rFonts w:eastAsia="Calibri"/>
          <w:szCs w:val="24"/>
          <w:lang w:val="el-GR"/>
        </w:rPr>
      </w:pPr>
    </w:p>
    <w:p w14:paraId="6A1902F2" w14:textId="32189716" w:rsidR="008275EC" w:rsidRPr="008275EC" w:rsidRDefault="008275EC" w:rsidP="004B238A">
      <w:pPr>
        <w:spacing w:before="200" w:after="200"/>
        <w:ind w:firstLine="0"/>
        <w:rPr>
          <w:rFonts w:eastAsia="Calibri"/>
          <w:b/>
          <w:bCs/>
          <w:szCs w:val="24"/>
          <w:lang w:val="el-GR"/>
        </w:rPr>
      </w:pPr>
      <w:r w:rsidRPr="008275EC">
        <w:rPr>
          <w:rFonts w:eastAsia="Calibri"/>
          <w:noProof/>
          <w:szCs w:val="24"/>
          <w:lang w:val="el-GR" w:eastAsia="el-GR"/>
        </w:rPr>
        <w:lastRenderedPageBreak/>
        <w:drawing>
          <wp:anchor distT="0" distB="0" distL="114300" distR="114300" simplePos="0" relativeHeight="251674624" behindDoc="0" locked="0" layoutInCell="1" allowOverlap="1" wp14:anchorId="1C98C95F" wp14:editId="6277EBE9">
            <wp:simplePos x="0" y="0"/>
            <wp:positionH relativeFrom="margin">
              <wp:posOffset>-480237</wp:posOffset>
            </wp:positionH>
            <wp:positionV relativeFrom="paragraph">
              <wp:posOffset>340</wp:posOffset>
            </wp:positionV>
            <wp:extent cx="6858000" cy="2524125"/>
            <wp:effectExtent l="0" t="0" r="0" b="9525"/>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858000" cy="252412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r w:rsidR="004B238A">
        <w:rPr>
          <w:rFonts w:eastAsia="Calibri"/>
          <w:b/>
          <w:bCs/>
          <w:szCs w:val="24"/>
          <w:lang w:val="el-GR"/>
        </w:rPr>
        <w:t>Σχήμα</w:t>
      </w:r>
      <w:r w:rsidRPr="008275EC">
        <w:rPr>
          <w:rFonts w:eastAsia="Calibri"/>
          <w:b/>
          <w:bCs/>
          <w:szCs w:val="24"/>
          <w:lang w:val="el-GR"/>
        </w:rPr>
        <w:t xml:space="preserve"> 9β</w:t>
      </w:r>
      <w:r w:rsidR="004B238A">
        <w:rPr>
          <w:rFonts w:eastAsia="Calibri"/>
          <w:b/>
          <w:bCs/>
          <w:szCs w:val="24"/>
          <w:lang w:val="el-GR"/>
        </w:rPr>
        <w:t>.</w:t>
      </w:r>
      <w:r w:rsidRPr="008275EC">
        <w:rPr>
          <w:rFonts w:eastAsia="Calibri"/>
          <w:b/>
          <w:bCs/>
          <w:szCs w:val="24"/>
          <w:lang w:val="el-GR"/>
        </w:rPr>
        <w:t xml:space="preserve"> </w:t>
      </w:r>
      <w:r w:rsidR="004B238A" w:rsidRPr="008275EC">
        <w:rPr>
          <w:rFonts w:eastAsia="Calibri"/>
          <w:szCs w:val="24"/>
          <w:lang w:val="el-GR"/>
        </w:rPr>
        <w:t>Ποσοστια</w:t>
      </w:r>
      <w:r w:rsidR="004B238A">
        <w:rPr>
          <w:rFonts w:eastAsia="Calibri"/>
          <w:szCs w:val="24"/>
          <w:lang w:val="el-GR"/>
        </w:rPr>
        <w:t>ί</w:t>
      </w:r>
      <w:r w:rsidR="004B238A" w:rsidRPr="008275EC">
        <w:rPr>
          <w:rFonts w:eastAsia="Calibri"/>
          <w:szCs w:val="24"/>
          <w:lang w:val="el-GR"/>
        </w:rPr>
        <w:t>ες Μεταβολ</w:t>
      </w:r>
      <w:r w:rsidR="004B238A">
        <w:rPr>
          <w:rFonts w:eastAsia="Calibri"/>
          <w:szCs w:val="24"/>
          <w:lang w:val="el-GR"/>
        </w:rPr>
        <w:t>έ</w:t>
      </w:r>
      <w:r w:rsidR="004B238A" w:rsidRPr="008275EC">
        <w:rPr>
          <w:rFonts w:eastAsia="Calibri"/>
          <w:szCs w:val="24"/>
          <w:lang w:val="el-GR"/>
        </w:rPr>
        <w:t>ς Καθαρ</w:t>
      </w:r>
      <w:r w:rsidR="004B238A">
        <w:rPr>
          <w:rFonts w:eastAsia="Calibri"/>
          <w:szCs w:val="24"/>
          <w:lang w:val="el-GR"/>
        </w:rPr>
        <w:t>ώ</w:t>
      </w:r>
      <w:r w:rsidR="004B238A" w:rsidRPr="008275EC">
        <w:rPr>
          <w:rFonts w:eastAsia="Calibri"/>
          <w:szCs w:val="24"/>
          <w:lang w:val="el-GR"/>
        </w:rPr>
        <w:t>ν Κερδ</w:t>
      </w:r>
      <w:r w:rsidR="004B238A">
        <w:rPr>
          <w:rFonts w:eastAsia="Calibri"/>
          <w:szCs w:val="24"/>
          <w:lang w:val="el-GR"/>
        </w:rPr>
        <w:t>ώ</w:t>
      </w:r>
      <w:r w:rsidR="004B238A" w:rsidRPr="008275EC">
        <w:rPr>
          <w:rFonts w:eastAsia="Calibri"/>
          <w:szCs w:val="24"/>
          <w:lang w:val="el-GR"/>
        </w:rPr>
        <w:t>ν/ Ζημι</w:t>
      </w:r>
      <w:r w:rsidR="004B238A">
        <w:rPr>
          <w:rFonts w:eastAsia="Calibri"/>
          <w:szCs w:val="24"/>
          <w:lang w:val="el-GR"/>
        </w:rPr>
        <w:t>ώ</w:t>
      </w:r>
      <w:r w:rsidR="004B238A" w:rsidRPr="008275EC">
        <w:rPr>
          <w:rFonts w:eastAsia="Calibri"/>
          <w:szCs w:val="24"/>
          <w:lang w:val="el-GR"/>
        </w:rPr>
        <w:t xml:space="preserve">ν – </w:t>
      </w:r>
      <w:bookmarkStart w:id="81" w:name="_Hlk84931516"/>
      <w:bookmarkStart w:id="82" w:name="_Hlk88469949"/>
      <w:r w:rsidR="004B238A" w:rsidRPr="008275EC">
        <w:rPr>
          <w:rFonts w:eastAsia="Calibri"/>
          <w:szCs w:val="24"/>
          <w:lang w:val="el-GR"/>
        </w:rPr>
        <w:t>Τρ</w:t>
      </w:r>
      <w:r w:rsidR="004B238A">
        <w:rPr>
          <w:rFonts w:eastAsia="Calibri"/>
          <w:szCs w:val="24"/>
          <w:lang w:val="el-GR"/>
        </w:rPr>
        <w:t>ά</w:t>
      </w:r>
      <w:r w:rsidR="004B238A" w:rsidRPr="008275EC">
        <w:rPr>
          <w:rFonts w:eastAsia="Calibri"/>
          <w:szCs w:val="24"/>
          <w:lang w:val="el-GR"/>
        </w:rPr>
        <w:t>πεζα Πειραι</w:t>
      </w:r>
      <w:r w:rsidR="004B238A">
        <w:rPr>
          <w:rFonts w:eastAsia="Calibri"/>
          <w:szCs w:val="24"/>
          <w:lang w:val="el-GR"/>
        </w:rPr>
        <w:t>ώ</w:t>
      </w:r>
      <w:r w:rsidR="004B238A" w:rsidRPr="008275EC">
        <w:rPr>
          <w:rFonts w:eastAsia="Calibri"/>
          <w:szCs w:val="24"/>
          <w:lang w:val="el-GR"/>
        </w:rPr>
        <w:t>ς</w:t>
      </w:r>
      <w:bookmarkStart w:id="83" w:name="_Hlk84931709"/>
      <w:bookmarkEnd w:id="81"/>
      <w:r w:rsidR="004B238A">
        <w:rPr>
          <w:rFonts w:eastAsia="Calibri"/>
          <w:b/>
          <w:bCs/>
          <w:szCs w:val="24"/>
          <w:lang w:val="el-GR"/>
        </w:rPr>
        <w:t xml:space="preserve"> (</w:t>
      </w:r>
      <w:r w:rsidRPr="008275EC">
        <w:rPr>
          <w:rFonts w:eastAsia="Calibri"/>
          <w:szCs w:val="24"/>
          <w:lang w:val="el-GR"/>
        </w:rPr>
        <w:t xml:space="preserve">Πηγή: Το διάγραμμα δημιουργήθηκε στο </w:t>
      </w:r>
      <w:r w:rsidRPr="008275EC">
        <w:rPr>
          <w:rFonts w:eastAsia="Calibri"/>
          <w:szCs w:val="24"/>
          <w:lang w:val="en-GB"/>
        </w:rPr>
        <w:t>Microsoft</w:t>
      </w:r>
      <w:r w:rsidRPr="008275EC">
        <w:rPr>
          <w:rFonts w:eastAsia="Calibri"/>
          <w:szCs w:val="24"/>
          <w:lang w:val="el-GR"/>
        </w:rPr>
        <w:t xml:space="preserve"> </w:t>
      </w:r>
      <w:r w:rsidRPr="008275EC">
        <w:rPr>
          <w:rFonts w:eastAsia="Calibri"/>
          <w:szCs w:val="24"/>
          <w:lang w:val="en-GB"/>
        </w:rPr>
        <w:t>Office</w:t>
      </w:r>
      <w:r w:rsidRPr="008275EC">
        <w:rPr>
          <w:rFonts w:eastAsia="Calibri"/>
          <w:szCs w:val="24"/>
          <w:lang w:val="el-GR"/>
        </w:rPr>
        <w:t xml:space="preserve"> </w:t>
      </w:r>
      <w:r w:rsidRPr="008275EC">
        <w:rPr>
          <w:rFonts w:eastAsia="Calibri"/>
          <w:szCs w:val="24"/>
          <w:lang w:val="en-GB"/>
        </w:rPr>
        <w:t>excel</w:t>
      </w:r>
      <w:r w:rsidRPr="008275EC">
        <w:rPr>
          <w:rFonts w:eastAsia="Calibri"/>
          <w:szCs w:val="24"/>
          <w:lang w:val="el-GR"/>
        </w:rPr>
        <w:t xml:space="preserve"> από τον συγγραφέα</w:t>
      </w:r>
      <w:r w:rsidR="004B238A">
        <w:rPr>
          <w:rFonts w:eastAsia="Calibri"/>
          <w:szCs w:val="24"/>
          <w:lang w:val="el-GR"/>
        </w:rPr>
        <w:t>)</w:t>
      </w:r>
      <w:r w:rsidRPr="008275EC">
        <w:rPr>
          <w:rFonts w:eastAsia="Calibri"/>
          <w:szCs w:val="24"/>
          <w:lang w:val="el-GR"/>
        </w:rPr>
        <w:t>.</w:t>
      </w:r>
    </w:p>
    <w:bookmarkEnd w:id="82"/>
    <w:bookmarkEnd w:id="83"/>
    <w:p w14:paraId="5C92FFFD" w14:textId="77777777" w:rsidR="008275EC" w:rsidRPr="008275EC" w:rsidRDefault="008275EC" w:rsidP="008275EC">
      <w:pPr>
        <w:spacing w:before="200" w:after="200"/>
        <w:ind w:firstLine="0"/>
        <w:rPr>
          <w:rFonts w:eastAsia="Calibri"/>
          <w:b/>
          <w:bCs/>
          <w:szCs w:val="24"/>
          <w:u w:val="single"/>
          <w:lang w:val="el-GR"/>
        </w:rPr>
      </w:pPr>
    </w:p>
    <w:p w14:paraId="0E737357" w14:textId="77777777" w:rsidR="008275EC" w:rsidRPr="008275EC" w:rsidRDefault="008275EC" w:rsidP="004B238A">
      <w:pPr>
        <w:pBdr>
          <w:top w:val="nil"/>
          <w:left w:val="nil"/>
          <w:bottom w:val="nil"/>
          <w:right w:val="nil"/>
          <w:between w:val="nil"/>
          <w:bar w:val="nil"/>
        </w:pBdr>
        <w:spacing w:before="200" w:after="200"/>
        <w:ind w:firstLine="709"/>
        <w:rPr>
          <w:rFonts w:eastAsia="Calibri"/>
          <w:szCs w:val="24"/>
          <w:lang w:val="el-GR"/>
        </w:rPr>
      </w:pPr>
      <w:bookmarkStart w:id="84" w:name="_Hlk84961357"/>
      <w:r w:rsidRPr="008275EC">
        <w:rPr>
          <w:rFonts w:eastAsia="Calibri"/>
          <w:szCs w:val="24"/>
          <w:lang w:val="el-GR"/>
        </w:rPr>
        <w:t xml:space="preserve">Στην περίπτωση της Τράπεζας Πειραιώς, ο δείκτης </w:t>
      </w:r>
      <w:r w:rsidRPr="008275EC">
        <w:rPr>
          <w:rFonts w:eastAsia="Calibri"/>
          <w:szCs w:val="24"/>
        </w:rPr>
        <w:t>ROA</w:t>
      </w:r>
      <w:r w:rsidRPr="008275EC">
        <w:rPr>
          <w:rFonts w:eastAsia="Calibri"/>
          <w:szCs w:val="24"/>
          <w:lang w:val="el-GR"/>
        </w:rPr>
        <w:t xml:space="preserve">, κατά την εξεταζόμενη περίοδο είναι συνεχώς χαμηλά κάτω από το αποδεκτό όριο του 5%. Ενώ, τα περισσότερα χρόνια ο δείκτης είναι αρνητικός εξαιτίας των ζημιών που εμφανίζει ο οργανισμός. Το 2020, ο δείκτης ήταν αρνητικός, κοντά στο -1%, μειωμένος κατά περίπου 300% σε σχέση με το 2009. Το 2005 (στην αρχή της εξεταζόμενης περιόδου) ο δείκτης ήταν λίγο πάνω από το 1% (1,20%). Ο δείκτης </w:t>
      </w:r>
      <w:r w:rsidRPr="008275EC">
        <w:rPr>
          <w:rFonts w:eastAsia="Calibri"/>
          <w:szCs w:val="24"/>
        </w:rPr>
        <w:t>ROA</w:t>
      </w:r>
      <w:r w:rsidRPr="008275EC">
        <w:rPr>
          <w:rFonts w:eastAsia="Calibri"/>
          <w:szCs w:val="24"/>
          <w:lang w:val="el-GR"/>
        </w:rPr>
        <w:t xml:space="preserve"> αυξήθηκε έως το 2006 (1,50%). Στη συνέχεια εμφανίστηκαν οι μειώσεις. Στην περίπτωση της Τράπεζας Πειραιώς, η καλύτερη απόδοση του δείκτη </w:t>
      </w:r>
      <w:r w:rsidRPr="008275EC">
        <w:rPr>
          <w:rFonts w:eastAsia="Calibri"/>
          <w:szCs w:val="24"/>
        </w:rPr>
        <w:t>ROA</w:t>
      </w:r>
      <w:r w:rsidRPr="008275EC">
        <w:rPr>
          <w:rFonts w:eastAsia="Calibri"/>
          <w:szCs w:val="24"/>
          <w:lang w:val="el-GR"/>
        </w:rPr>
        <w:t xml:space="preserve"> ήταν το 2013 (2,80%). Η χειρότερη απόδοση ήταν το 2011 (-13,50%). Οι πολύ χαμηλές αξίες και οι αρνητικές τιμές του δείκτη δηλώνουν ότι ο οργανισμός αντιμετωπίζει προβλήματα ως προς τη μεγιστοποίηση των κερδών του, από τη χρήση των περιουσιακών του στοιχείων. Στην περίπτωση της Τράπεζας Πειραιώς, η πορεία του δείκτη </w:t>
      </w:r>
      <w:r w:rsidRPr="008275EC">
        <w:rPr>
          <w:rFonts w:eastAsia="Calibri"/>
          <w:szCs w:val="24"/>
        </w:rPr>
        <w:t>ROA</w:t>
      </w:r>
      <w:r w:rsidRPr="008275EC">
        <w:rPr>
          <w:rFonts w:eastAsia="Calibri"/>
          <w:szCs w:val="24"/>
          <w:lang w:val="el-GR"/>
        </w:rPr>
        <w:t xml:space="preserve"> ακολουθεί κυρίως την πορεία των καθαρών κερδών/ ζημιών.</w:t>
      </w:r>
    </w:p>
    <w:bookmarkEnd w:id="84"/>
    <w:p w14:paraId="7E1C8FB1" w14:textId="77777777" w:rsidR="008275EC" w:rsidRPr="008275EC" w:rsidRDefault="008275EC" w:rsidP="008275EC">
      <w:pPr>
        <w:spacing w:before="200" w:after="200"/>
        <w:ind w:firstLine="0"/>
        <w:rPr>
          <w:rFonts w:eastAsia="Calibri"/>
          <w:b/>
          <w:bCs/>
          <w:szCs w:val="24"/>
          <w:u w:val="single"/>
          <w:lang w:val="el-GR"/>
        </w:rPr>
      </w:pPr>
    </w:p>
    <w:p w14:paraId="28C17742" w14:textId="77777777" w:rsidR="008275EC" w:rsidRPr="008275EC" w:rsidRDefault="008275EC" w:rsidP="008275EC">
      <w:pPr>
        <w:spacing w:before="200" w:after="200"/>
        <w:ind w:firstLine="0"/>
        <w:rPr>
          <w:rFonts w:eastAsia="Calibri"/>
          <w:szCs w:val="24"/>
          <w:lang w:val="el-GR"/>
        </w:rPr>
      </w:pPr>
    </w:p>
    <w:p w14:paraId="2108DF7E"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6C72A74F" w14:textId="77777777" w:rsidR="008275EC" w:rsidRPr="008275EC" w:rsidRDefault="008275EC" w:rsidP="008275EC">
      <w:pPr>
        <w:spacing w:before="200" w:after="200"/>
        <w:ind w:firstLine="0"/>
        <w:rPr>
          <w:rFonts w:eastAsia="Calibri"/>
          <w:szCs w:val="24"/>
          <w:lang w:val="el-GR"/>
        </w:rPr>
      </w:pPr>
    </w:p>
    <w:p w14:paraId="70E2A95F" w14:textId="77777777" w:rsidR="00B73D10" w:rsidRPr="008275EC" w:rsidRDefault="008275EC" w:rsidP="00B73D10">
      <w:pPr>
        <w:spacing w:before="200" w:after="200"/>
        <w:ind w:firstLine="0"/>
        <w:rPr>
          <w:rFonts w:eastAsia="Calibri"/>
          <w:b/>
          <w:bCs/>
          <w:szCs w:val="24"/>
          <w:lang w:val="el-GR"/>
        </w:rPr>
      </w:pPr>
      <w:r w:rsidRPr="008275EC">
        <w:rPr>
          <w:rFonts w:eastAsia="Calibri"/>
          <w:noProof/>
          <w:szCs w:val="24"/>
          <w:lang w:val="el-GR" w:eastAsia="el-GR"/>
        </w:rPr>
        <w:drawing>
          <wp:anchor distT="0" distB="0" distL="114300" distR="114300" simplePos="0" relativeHeight="251675648" behindDoc="0" locked="0" layoutInCell="1" allowOverlap="1" wp14:anchorId="2C4BCE83" wp14:editId="0D53E76E">
            <wp:simplePos x="0" y="0"/>
            <wp:positionH relativeFrom="margin">
              <wp:posOffset>-535615</wp:posOffset>
            </wp:positionH>
            <wp:positionV relativeFrom="paragraph">
              <wp:posOffset>399</wp:posOffset>
            </wp:positionV>
            <wp:extent cx="6829425" cy="2466975"/>
            <wp:effectExtent l="0" t="0" r="9525" b="9525"/>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829425" cy="246697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r w:rsidR="00B73D10">
        <w:rPr>
          <w:rFonts w:eastAsia="Calibri"/>
          <w:b/>
          <w:bCs/>
          <w:szCs w:val="24"/>
          <w:lang w:val="el-GR"/>
        </w:rPr>
        <w:t>Σχήμα</w:t>
      </w:r>
      <w:r w:rsidRPr="008275EC">
        <w:rPr>
          <w:rFonts w:eastAsia="Calibri"/>
          <w:b/>
          <w:bCs/>
          <w:szCs w:val="24"/>
          <w:lang w:val="el-GR"/>
        </w:rPr>
        <w:t xml:space="preserve"> 10α</w:t>
      </w:r>
      <w:r w:rsidR="00B73D10">
        <w:rPr>
          <w:rFonts w:eastAsia="Calibri"/>
          <w:b/>
          <w:bCs/>
          <w:szCs w:val="24"/>
          <w:lang w:val="el-GR"/>
        </w:rPr>
        <w:t>.</w:t>
      </w:r>
      <w:r w:rsidRPr="008275EC">
        <w:rPr>
          <w:rFonts w:eastAsia="Calibri"/>
          <w:b/>
          <w:bCs/>
          <w:szCs w:val="24"/>
          <w:lang w:val="el-GR"/>
        </w:rPr>
        <w:t xml:space="preserve"> </w:t>
      </w:r>
      <w:r w:rsidRPr="008275EC">
        <w:rPr>
          <w:rFonts w:eastAsia="Calibri"/>
          <w:szCs w:val="24"/>
          <w:lang w:val="el-GR"/>
        </w:rPr>
        <w:t>Δ</w:t>
      </w:r>
      <w:r w:rsidR="00B73D10">
        <w:rPr>
          <w:rFonts w:eastAsia="Calibri"/>
          <w:szCs w:val="24"/>
          <w:lang w:val="el-GR"/>
        </w:rPr>
        <w:t>είκτης</w:t>
      </w:r>
      <w:r w:rsidRPr="008275EC">
        <w:rPr>
          <w:rFonts w:eastAsia="Calibri"/>
          <w:szCs w:val="24"/>
          <w:lang w:val="el-GR"/>
        </w:rPr>
        <w:t xml:space="preserve"> ROA – </w:t>
      </w:r>
      <w:r w:rsidR="00B73D10" w:rsidRPr="008275EC">
        <w:rPr>
          <w:rFonts w:eastAsia="Calibri"/>
          <w:szCs w:val="24"/>
          <w:lang w:val="el-GR"/>
        </w:rPr>
        <w:t>Τρ</w:t>
      </w:r>
      <w:r w:rsidR="00B73D10">
        <w:rPr>
          <w:rFonts w:eastAsia="Calibri"/>
          <w:szCs w:val="24"/>
          <w:lang w:val="el-GR"/>
        </w:rPr>
        <w:t>ά</w:t>
      </w:r>
      <w:r w:rsidR="00B73D10" w:rsidRPr="008275EC">
        <w:rPr>
          <w:rFonts w:eastAsia="Calibri"/>
          <w:szCs w:val="24"/>
          <w:lang w:val="el-GR"/>
        </w:rPr>
        <w:t>πεζα Πειραι</w:t>
      </w:r>
      <w:r w:rsidR="00B73D10">
        <w:rPr>
          <w:rFonts w:eastAsia="Calibri"/>
          <w:szCs w:val="24"/>
          <w:lang w:val="el-GR"/>
        </w:rPr>
        <w:t>ώ</w:t>
      </w:r>
      <w:r w:rsidR="00B73D10" w:rsidRPr="008275EC">
        <w:rPr>
          <w:rFonts w:eastAsia="Calibri"/>
          <w:szCs w:val="24"/>
          <w:lang w:val="el-GR"/>
        </w:rPr>
        <w:t>ς</w:t>
      </w:r>
      <w:r w:rsidR="00B73D10">
        <w:rPr>
          <w:rFonts w:eastAsia="Calibri"/>
          <w:b/>
          <w:bCs/>
          <w:szCs w:val="24"/>
          <w:lang w:val="el-GR"/>
        </w:rPr>
        <w:t xml:space="preserve"> (</w:t>
      </w:r>
      <w:r w:rsidR="00B73D10" w:rsidRPr="008275EC">
        <w:rPr>
          <w:rFonts w:eastAsia="Calibri"/>
          <w:szCs w:val="24"/>
          <w:lang w:val="el-GR"/>
        </w:rPr>
        <w:t xml:space="preserve">Πηγή: Το διάγραμμα δημιουργήθηκε στο </w:t>
      </w:r>
      <w:r w:rsidR="00B73D10" w:rsidRPr="008275EC">
        <w:rPr>
          <w:rFonts w:eastAsia="Calibri"/>
          <w:szCs w:val="24"/>
          <w:lang w:val="en-GB"/>
        </w:rPr>
        <w:t>Microsoft</w:t>
      </w:r>
      <w:r w:rsidR="00B73D10" w:rsidRPr="008275EC">
        <w:rPr>
          <w:rFonts w:eastAsia="Calibri"/>
          <w:szCs w:val="24"/>
          <w:lang w:val="el-GR"/>
        </w:rPr>
        <w:t xml:space="preserve"> </w:t>
      </w:r>
      <w:r w:rsidR="00B73D10" w:rsidRPr="008275EC">
        <w:rPr>
          <w:rFonts w:eastAsia="Calibri"/>
          <w:szCs w:val="24"/>
          <w:lang w:val="en-GB"/>
        </w:rPr>
        <w:t>Office</w:t>
      </w:r>
      <w:r w:rsidR="00B73D10" w:rsidRPr="008275EC">
        <w:rPr>
          <w:rFonts w:eastAsia="Calibri"/>
          <w:szCs w:val="24"/>
          <w:lang w:val="el-GR"/>
        </w:rPr>
        <w:t xml:space="preserve"> </w:t>
      </w:r>
      <w:r w:rsidR="00B73D10" w:rsidRPr="008275EC">
        <w:rPr>
          <w:rFonts w:eastAsia="Calibri"/>
          <w:szCs w:val="24"/>
          <w:lang w:val="en-GB"/>
        </w:rPr>
        <w:t>excel</w:t>
      </w:r>
      <w:r w:rsidR="00B73D10" w:rsidRPr="008275EC">
        <w:rPr>
          <w:rFonts w:eastAsia="Calibri"/>
          <w:szCs w:val="24"/>
          <w:lang w:val="el-GR"/>
        </w:rPr>
        <w:t xml:space="preserve"> από τον συγγραφέα</w:t>
      </w:r>
      <w:r w:rsidR="00B73D10">
        <w:rPr>
          <w:rFonts w:eastAsia="Calibri"/>
          <w:szCs w:val="24"/>
          <w:lang w:val="el-GR"/>
        </w:rPr>
        <w:t>)</w:t>
      </w:r>
      <w:r w:rsidR="00B73D10" w:rsidRPr="008275EC">
        <w:rPr>
          <w:rFonts w:eastAsia="Calibri"/>
          <w:szCs w:val="24"/>
          <w:lang w:val="el-GR"/>
        </w:rPr>
        <w:t>.</w:t>
      </w:r>
    </w:p>
    <w:p w14:paraId="0F0A0D7B" w14:textId="13FCE6A3" w:rsidR="008275EC" w:rsidRPr="008275EC" w:rsidRDefault="00B73D10" w:rsidP="00B73D10">
      <w:pPr>
        <w:spacing w:before="200" w:after="200"/>
        <w:ind w:firstLine="0"/>
        <w:rPr>
          <w:rFonts w:eastAsia="Calibri"/>
          <w:b/>
          <w:bCs/>
          <w:szCs w:val="24"/>
          <w:u w:val="single"/>
          <w:lang w:val="el-GR"/>
        </w:rPr>
      </w:pPr>
      <w:r w:rsidRPr="008275EC">
        <w:rPr>
          <w:rFonts w:eastAsia="Calibri"/>
          <w:noProof/>
          <w:szCs w:val="24"/>
          <w:lang w:val="el-GR" w:eastAsia="el-GR"/>
        </w:rPr>
        <w:drawing>
          <wp:anchor distT="0" distB="0" distL="114300" distR="114300" simplePos="0" relativeHeight="251676672" behindDoc="0" locked="0" layoutInCell="1" allowOverlap="1" wp14:anchorId="37AD074F" wp14:editId="34BB7531">
            <wp:simplePos x="0" y="0"/>
            <wp:positionH relativeFrom="margin">
              <wp:posOffset>-540710</wp:posOffset>
            </wp:positionH>
            <wp:positionV relativeFrom="paragraph">
              <wp:posOffset>413267</wp:posOffset>
            </wp:positionV>
            <wp:extent cx="6838950" cy="2495550"/>
            <wp:effectExtent l="0" t="0" r="0" b="0"/>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838950" cy="2495550"/>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1DF023BA" w14:textId="77777777" w:rsidR="00D86C58" w:rsidRPr="008275EC" w:rsidRDefault="00B73D10" w:rsidP="00D86C58">
      <w:pPr>
        <w:spacing w:before="200" w:after="200"/>
        <w:ind w:firstLine="0"/>
        <w:rPr>
          <w:rFonts w:eastAsia="Calibri"/>
          <w:b/>
          <w:bCs/>
          <w:szCs w:val="24"/>
          <w:lang w:val="el-GR"/>
        </w:rPr>
      </w:pPr>
      <w:r>
        <w:rPr>
          <w:rFonts w:eastAsia="Calibri"/>
          <w:b/>
          <w:bCs/>
          <w:szCs w:val="24"/>
          <w:lang w:val="el-GR"/>
        </w:rPr>
        <w:t>Σχήμα</w:t>
      </w:r>
      <w:r w:rsidR="008275EC" w:rsidRPr="008275EC">
        <w:rPr>
          <w:rFonts w:eastAsia="Calibri"/>
          <w:b/>
          <w:bCs/>
          <w:szCs w:val="24"/>
          <w:lang w:val="el-GR"/>
        </w:rPr>
        <w:t xml:space="preserve"> 10β</w:t>
      </w:r>
      <w:r w:rsidR="00D86C58">
        <w:rPr>
          <w:rFonts w:eastAsia="Calibri"/>
          <w:b/>
          <w:bCs/>
          <w:szCs w:val="24"/>
          <w:lang w:val="el-GR"/>
        </w:rPr>
        <w:t xml:space="preserve">. </w:t>
      </w:r>
      <w:r w:rsidR="00D86C58" w:rsidRPr="008275EC">
        <w:rPr>
          <w:rFonts w:eastAsia="Calibri"/>
          <w:szCs w:val="24"/>
          <w:lang w:val="el-GR"/>
        </w:rPr>
        <w:t>Ποσοστια</w:t>
      </w:r>
      <w:r w:rsidR="00D86C58">
        <w:rPr>
          <w:rFonts w:eastAsia="Calibri"/>
          <w:szCs w:val="24"/>
          <w:lang w:val="el-GR"/>
        </w:rPr>
        <w:t>ί</w:t>
      </w:r>
      <w:r w:rsidR="00D86C58" w:rsidRPr="008275EC">
        <w:rPr>
          <w:rFonts w:eastAsia="Calibri"/>
          <w:szCs w:val="24"/>
          <w:lang w:val="el-GR"/>
        </w:rPr>
        <w:t>ες Μεταβολ</w:t>
      </w:r>
      <w:r w:rsidR="00D86C58">
        <w:rPr>
          <w:rFonts w:eastAsia="Calibri"/>
          <w:szCs w:val="24"/>
          <w:lang w:val="el-GR"/>
        </w:rPr>
        <w:t>έ</w:t>
      </w:r>
      <w:r w:rsidR="00D86C58" w:rsidRPr="008275EC">
        <w:rPr>
          <w:rFonts w:eastAsia="Calibri"/>
          <w:szCs w:val="24"/>
          <w:lang w:val="el-GR"/>
        </w:rPr>
        <w:t>ς Δε</w:t>
      </w:r>
      <w:r w:rsidR="00D86C58">
        <w:rPr>
          <w:rFonts w:eastAsia="Calibri"/>
          <w:szCs w:val="24"/>
          <w:lang w:val="el-GR"/>
        </w:rPr>
        <w:t>ί</w:t>
      </w:r>
      <w:r w:rsidR="00D86C58" w:rsidRPr="008275EC">
        <w:rPr>
          <w:rFonts w:eastAsia="Calibri"/>
          <w:szCs w:val="24"/>
          <w:lang w:val="el-GR"/>
        </w:rPr>
        <w:t>κτη</w:t>
      </w:r>
      <w:r w:rsidR="008275EC" w:rsidRPr="008275EC">
        <w:rPr>
          <w:rFonts w:eastAsia="Calibri"/>
          <w:szCs w:val="24"/>
          <w:lang w:val="el-GR"/>
        </w:rPr>
        <w:t xml:space="preserve"> ROA – </w:t>
      </w:r>
      <w:r w:rsidR="00D86C58" w:rsidRPr="008275EC">
        <w:rPr>
          <w:rFonts w:eastAsia="Calibri"/>
          <w:szCs w:val="24"/>
          <w:lang w:val="el-GR"/>
        </w:rPr>
        <w:t>Τρ</w:t>
      </w:r>
      <w:r w:rsidR="00D86C58">
        <w:rPr>
          <w:rFonts w:eastAsia="Calibri"/>
          <w:szCs w:val="24"/>
          <w:lang w:val="el-GR"/>
        </w:rPr>
        <w:t>ά</w:t>
      </w:r>
      <w:r w:rsidR="00D86C58" w:rsidRPr="008275EC">
        <w:rPr>
          <w:rFonts w:eastAsia="Calibri"/>
          <w:szCs w:val="24"/>
          <w:lang w:val="el-GR"/>
        </w:rPr>
        <w:t>πεζα Πειραι</w:t>
      </w:r>
      <w:r w:rsidR="00D86C58">
        <w:rPr>
          <w:rFonts w:eastAsia="Calibri"/>
          <w:szCs w:val="24"/>
          <w:lang w:val="el-GR"/>
        </w:rPr>
        <w:t>ώ</w:t>
      </w:r>
      <w:r w:rsidR="00D86C58" w:rsidRPr="008275EC">
        <w:rPr>
          <w:rFonts w:eastAsia="Calibri"/>
          <w:szCs w:val="24"/>
          <w:lang w:val="el-GR"/>
        </w:rPr>
        <w:t>ς</w:t>
      </w:r>
      <w:r w:rsidR="00D86C58">
        <w:rPr>
          <w:rFonts w:eastAsia="Calibri"/>
          <w:b/>
          <w:bCs/>
          <w:szCs w:val="24"/>
          <w:lang w:val="el-GR"/>
        </w:rPr>
        <w:t xml:space="preserve"> (</w:t>
      </w:r>
      <w:r w:rsidR="00D86C58" w:rsidRPr="008275EC">
        <w:rPr>
          <w:rFonts w:eastAsia="Calibri"/>
          <w:szCs w:val="24"/>
          <w:lang w:val="el-GR"/>
        </w:rPr>
        <w:t xml:space="preserve">Πηγή: Το διάγραμμα δημιουργήθηκε στο </w:t>
      </w:r>
      <w:r w:rsidR="00D86C58" w:rsidRPr="008275EC">
        <w:rPr>
          <w:rFonts w:eastAsia="Calibri"/>
          <w:szCs w:val="24"/>
          <w:lang w:val="en-GB"/>
        </w:rPr>
        <w:t>Microsoft</w:t>
      </w:r>
      <w:r w:rsidR="00D86C58" w:rsidRPr="008275EC">
        <w:rPr>
          <w:rFonts w:eastAsia="Calibri"/>
          <w:szCs w:val="24"/>
          <w:lang w:val="el-GR"/>
        </w:rPr>
        <w:t xml:space="preserve"> </w:t>
      </w:r>
      <w:r w:rsidR="00D86C58" w:rsidRPr="008275EC">
        <w:rPr>
          <w:rFonts w:eastAsia="Calibri"/>
          <w:szCs w:val="24"/>
          <w:lang w:val="en-GB"/>
        </w:rPr>
        <w:t>Office</w:t>
      </w:r>
      <w:r w:rsidR="00D86C58" w:rsidRPr="008275EC">
        <w:rPr>
          <w:rFonts w:eastAsia="Calibri"/>
          <w:szCs w:val="24"/>
          <w:lang w:val="el-GR"/>
        </w:rPr>
        <w:t xml:space="preserve"> </w:t>
      </w:r>
      <w:r w:rsidR="00D86C58" w:rsidRPr="008275EC">
        <w:rPr>
          <w:rFonts w:eastAsia="Calibri"/>
          <w:szCs w:val="24"/>
          <w:lang w:val="en-GB"/>
        </w:rPr>
        <w:t>excel</w:t>
      </w:r>
      <w:r w:rsidR="00D86C58" w:rsidRPr="008275EC">
        <w:rPr>
          <w:rFonts w:eastAsia="Calibri"/>
          <w:szCs w:val="24"/>
          <w:lang w:val="el-GR"/>
        </w:rPr>
        <w:t xml:space="preserve"> από τον συγγραφέα</w:t>
      </w:r>
      <w:r w:rsidR="00D86C58">
        <w:rPr>
          <w:rFonts w:eastAsia="Calibri"/>
          <w:szCs w:val="24"/>
          <w:lang w:val="el-GR"/>
        </w:rPr>
        <w:t>)</w:t>
      </w:r>
      <w:r w:rsidR="00D86C58" w:rsidRPr="008275EC">
        <w:rPr>
          <w:rFonts w:eastAsia="Calibri"/>
          <w:szCs w:val="24"/>
          <w:lang w:val="el-GR"/>
        </w:rPr>
        <w:t>.</w:t>
      </w:r>
    </w:p>
    <w:p w14:paraId="25561536" w14:textId="20974747" w:rsidR="008275EC" w:rsidRPr="008275EC" w:rsidRDefault="008275EC" w:rsidP="00D86C58">
      <w:pPr>
        <w:spacing w:before="200" w:after="200"/>
        <w:ind w:firstLine="0"/>
        <w:rPr>
          <w:rFonts w:eastAsia="Calibri"/>
          <w:b/>
          <w:bCs/>
          <w:szCs w:val="24"/>
          <w:u w:val="single"/>
          <w:lang w:val="el-GR"/>
        </w:rPr>
      </w:pPr>
    </w:p>
    <w:p w14:paraId="72786F8A" w14:textId="73D9D8A5" w:rsidR="008275EC" w:rsidRPr="008275EC" w:rsidRDefault="008275EC" w:rsidP="00D86C58">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Στην περίπτωση της Τράπεζας Πειραιώς, ο δείκτης </w:t>
      </w:r>
      <w:r w:rsidRPr="008275EC">
        <w:rPr>
          <w:rFonts w:eastAsia="Calibri"/>
          <w:szCs w:val="24"/>
        </w:rPr>
        <w:t>ROE</w:t>
      </w:r>
      <w:r w:rsidRPr="008275EC">
        <w:rPr>
          <w:rFonts w:eastAsia="Calibri"/>
          <w:szCs w:val="24"/>
          <w:lang w:val="el-GR"/>
        </w:rPr>
        <w:t xml:space="preserve"> είχε μια καλή πορεία κατά τα πρώτα χρόνια της υπό εξέταση περιόδου. Το 2005, ο δείκτης ήταν γύρω στο 17,50%, για να </w:t>
      </w:r>
      <w:r w:rsidRPr="008275EC">
        <w:rPr>
          <w:rFonts w:eastAsia="Calibri"/>
          <w:szCs w:val="24"/>
          <w:lang w:val="el-GR"/>
        </w:rPr>
        <w:lastRenderedPageBreak/>
        <w:t xml:space="preserve">ανέβει το 2006 σε περίπου 25% (αύξηση 40% περίπου). Το 2007 κατέβηκε λίγο στο 20% περίπου (μείωση περίπου 20%). Τα επόμενα χρόνια συνεχίστηκαν οι μειώσεις. Το 2010 ήταν η πρώτη χρόνια (του δείγματος μας) όπου ο δείκτης εμφάνισε αρνητική τιμή. Ενώ, το 2011, ο δείκτης </w:t>
      </w:r>
      <w:r w:rsidRPr="008275EC">
        <w:rPr>
          <w:rFonts w:eastAsia="Calibri"/>
          <w:szCs w:val="24"/>
        </w:rPr>
        <w:t>ROE</w:t>
      </w:r>
      <w:r w:rsidRPr="008275EC">
        <w:rPr>
          <w:rFonts w:eastAsia="Calibri"/>
          <w:szCs w:val="24"/>
          <w:lang w:val="el-GR"/>
        </w:rPr>
        <w:t xml:space="preserve"> για την Τράπεζα Πειραιώς εμφάνισε ακραία τιμή στο 340%, περίπου. Το 2020, η τιμή του δείκτη ήταν αρνητική, στο -9% περίπου (μείωση 360% περίπου σε σχέση με το προηγούμενο έτος). Καλύτερη χρονιά θεωρείται το 2013 (30% περίπου)</w:t>
      </w:r>
      <w:r w:rsidRPr="008275EC">
        <w:rPr>
          <w:rFonts w:eastAsia="Calibri"/>
          <w:szCs w:val="24"/>
          <w:vertAlign w:val="superscript"/>
          <w:lang w:val="el-GR"/>
        </w:rPr>
        <w:footnoteReference w:id="14"/>
      </w:r>
      <w:r w:rsidRPr="008275EC">
        <w:rPr>
          <w:rFonts w:eastAsia="Calibri"/>
          <w:szCs w:val="24"/>
          <w:lang w:val="el-GR"/>
        </w:rPr>
        <w:t>, η χρονιά με τις περισσότερες συγχωνεύσεις και εξαγορές. Χειρότερη χρονιά θεωρείται το 2014 (-27% περίπου), η χρονιά που ολοκληρώθηκαν οι συγχωνεύσεις και οι εξαγορές. Και στην περίπτωση της Τράπεζας Πειραιώς (όπως και στις προηγούμενες δύο εταιρείες του δείγματος), πριν την οικονομική κρίση, η τράπεζα χρησιμοποιούσε αποτελεσματικά τα ίδια κεφάλαια των μετόχων της για τη δημιουργία εσόδων και κερδών. Ωστόσο, με την οικονομική κρίση, αυτό άλλαξε.</w:t>
      </w:r>
    </w:p>
    <w:p w14:paraId="115BF773" w14:textId="55DFF0FF" w:rsidR="008275EC" w:rsidRPr="008275EC" w:rsidRDefault="00D86C58" w:rsidP="008275EC">
      <w:pPr>
        <w:spacing w:before="200" w:after="200"/>
        <w:ind w:firstLine="0"/>
        <w:rPr>
          <w:rFonts w:eastAsia="Calibri"/>
          <w:b/>
          <w:bCs/>
          <w:szCs w:val="24"/>
          <w:u w:val="single"/>
          <w:lang w:val="el-GR"/>
        </w:rPr>
      </w:pPr>
      <w:r w:rsidRPr="008275EC">
        <w:rPr>
          <w:rFonts w:eastAsia="Calibri"/>
          <w:noProof/>
          <w:szCs w:val="24"/>
          <w:lang w:val="el-GR" w:eastAsia="el-GR"/>
        </w:rPr>
        <w:drawing>
          <wp:anchor distT="0" distB="0" distL="114300" distR="114300" simplePos="0" relativeHeight="251677696" behindDoc="0" locked="0" layoutInCell="1" allowOverlap="1" wp14:anchorId="48760EE1" wp14:editId="2FF32AFC">
            <wp:simplePos x="0" y="0"/>
            <wp:positionH relativeFrom="column">
              <wp:posOffset>-585455</wp:posOffset>
            </wp:positionH>
            <wp:positionV relativeFrom="paragraph">
              <wp:posOffset>254945</wp:posOffset>
            </wp:positionV>
            <wp:extent cx="6877050" cy="2038350"/>
            <wp:effectExtent l="0" t="0" r="0" b="0"/>
            <wp:wrapTopAndBottom/>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877050" cy="2038350"/>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2076FB26" w14:textId="77777777" w:rsidR="00D86C58" w:rsidRPr="008275EC" w:rsidRDefault="00D86C58" w:rsidP="00D86C58">
      <w:pPr>
        <w:spacing w:before="200" w:after="200"/>
        <w:ind w:firstLine="0"/>
        <w:rPr>
          <w:rFonts w:eastAsia="Calibri"/>
          <w:b/>
          <w:bCs/>
          <w:szCs w:val="24"/>
          <w:lang w:val="el-GR"/>
        </w:rPr>
      </w:pPr>
      <w:r w:rsidRPr="00D86C58">
        <w:rPr>
          <w:rFonts w:eastAsia="Arial Unicode MS"/>
          <w:b/>
          <w:bCs/>
          <w:szCs w:val="24"/>
          <w:bdr w:val="nil"/>
          <w:lang w:val="el-GR"/>
        </w:rPr>
        <w:t>Σχήμα</w:t>
      </w:r>
      <w:r w:rsidR="008275EC" w:rsidRPr="008275EC">
        <w:rPr>
          <w:rFonts w:eastAsia="Arial Unicode MS"/>
          <w:b/>
          <w:bCs/>
          <w:szCs w:val="24"/>
          <w:bdr w:val="nil"/>
          <w:lang w:val="el-GR"/>
        </w:rPr>
        <w:t xml:space="preserve"> 11α</w:t>
      </w:r>
      <w:r w:rsidRPr="00D86C58">
        <w:rPr>
          <w:rFonts w:eastAsia="Arial Unicode MS"/>
          <w:b/>
          <w:bCs/>
          <w:szCs w:val="24"/>
          <w:bdr w:val="nil"/>
          <w:lang w:val="el-GR"/>
        </w:rPr>
        <w:t>.</w:t>
      </w:r>
      <w:r w:rsidR="008275EC" w:rsidRPr="008275EC">
        <w:rPr>
          <w:rFonts w:eastAsia="Arial Unicode MS"/>
          <w:b/>
          <w:bCs/>
          <w:szCs w:val="24"/>
          <w:bdr w:val="nil"/>
          <w:lang w:val="el-GR"/>
        </w:rPr>
        <w:t xml:space="preserve"> </w:t>
      </w:r>
      <w:r w:rsidR="008275EC" w:rsidRPr="008275EC">
        <w:rPr>
          <w:rFonts w:eastAsia="Arial Unicode MS"/>
          <w:szCs w:val="24"/>
          <w:bdr w:val="nil"/>
          <w:lang w:val="el-GR"/>
        </w:rPr>
        <w:t>Δ</w:t>
      </w:r>
      <w:r>
        <w:rPr>
          <w:rFonts w:eastAsia="Arial Unicode MS"/>
          <w:szCs w:val="24"/>
          <w:bdr w:val="nil"/>
          <w:lang w:val="el-GR"/>
        </w:rPr>
        <w:t>είκτης</w:t>
      </w:r>
      <w:r w:rsidR="008275EC" w:rsidRPr="008275EC">
        <w:rPr>
          <w:rFonts w:eastAsia="Arial Unicode MS"/>
          <w:szCs w:val="24"/>
          <w:bdr w:val="nil"/>
          <w:lang w:val="el-GR"/>
        </w:rPr>
        <w:t xml:space="preserve"> </w:t>
      </w:r>
      <w:r w:rsidR="008275EC" w:rsidRPr="008275EC">
        <w:rPr>
          <w:rFonts w:eastAsia="Arial Unicode MS"/>
          <w:szCs w:val="24"/>
          <w:bdr w:val="nil"/>
        </w:rPr>
        <w:t>ROE</w:t>
      </w:r>
      <w:r w:rsidR="008275EC" w:rsidRPr="008275EC">
        <w:rPr>
          <w:rFonts w:eastAsia="Arial Unicode MS"/>
          <w:szCs w:val="24"/>
          <w:bdr w:val="nil"/>
          <w:lang w:val="el-GR"/>
        </w:rPr>
        <w:t xml:space="preserve"> – </w:t>
      </w:r>
      <w:r w:rsidRPr="008275EC">
        <w:rPr>
          <w:rFonts w:eastAsia="Calibri"/>
          <w:szCs w:val="24"/>
          <w:lang w:val="el-GR"/>
        </w:rPr>
        <w:t>Τρ</w:t>
      </w:r>
      <w:r>
        <w:rPr>
          <w:rFonts w:eastAsia="Calibri"/>
          <w:szCs w:val="24"/>
          <w:lang w:val="el-GR"/>
        </w:rPr>
        <w:t>ά</w:t>
      </w:r>
      <w:r w:rsidRPr="008275EC">
        <w:rPr>
          <w:rFonts w:eastAsia="Calibri"/>
          <w:szCs w:val="24"/>
          <w:lang w:val="el-GR"/>
        </w:rPr>
        <w:t>πεζα Πειραι</w:t>
      </w:r>
      <w:r>
        <w:rPr>
          <w:rFonts w:eastAsia="Calibri"/>
          <w:szCs w:val="24"/>
          <w:lang w:val="el-GR"/>
        </w:rPr>
        <w:t>ώ</w:t>
      </w:r>
      <w:r w:rsidRPr="008275EC">
        <w:rPr>
          <w:rFonts w:eastAsia="Calibri"/>
          <w:szCs w:val="24"/>
          <w:lang w:val="el-GR"/>
        </w:rPr>
        <w:t>ς</w:t>
      </w:r>
      <w:r>
        <w:rPr>
          <w:rFonts w:eastAsia="Calibri"/>
          <w:b/>
          <w:bCs/>
          <w:szCs w:val="24"/>
          <w:lang w:val="el-GR"/>
        </w:rPr>
        <w:t xml:space="preserve"> (</w:t>
      </w:r>
      <w:r w:rsidRPr="008275EC">
        <w:rPr>
          <w:rFonts w:eastAsia="Calibri"/>
          <w:szCs w:val="24"/>
          <w:lang w:val="el-GR"/>
        </w:rPr>
        <w:t xml:space="preserve">Πηγή: Το διάγραμμα δημιουργήθηκε στο </w:t>
      </w:r>
      <w:r w:rsidRPr="008275EC">
        <w:rPr>
          <w:rFonts w:eastAsia="Calibri"/>
          <w:szCs w:val="24"/>
          <w:lang w:val="en-GB"/>
        </w:rPr>
        <w:t>Microsoft</w:t>
      </w:r>
      <w:r w:rsidRPr="008275EC">
        <w:rPr>
          <w:rFonts w:eastAsia="Calibri"/>
          <w:szCs w:val="24"/>
          <w:lang w:val="el-GR"/>
        </w:rPr>
        <w:t xml:space="preserve"> </w:t>
      </w:r>
      <w:r w:rsidRPr="008275EC">
        <w:rPr>
          <w:rFonts w:eastAsia="Calibri"/>
          <w:szCs w:val="24"/>
          <w:lang w:val="en-GB"/>
        </w:rPr>
        <w:t>Office</w:t>
      </w:r>
      <w:r w:rsidRPr="008275EC">
        <w:rPr>
          <w:rFonts w:eastAsia="Calibri"/>
          <w:szCs w:val="24"/>
          <w:lang w:val="el-GR"/>
        </w:rPr>
        <w:t xml:space="preserve"> </w:t>
      </w:r>
      <w:r w:rsidRPr="008275EC">
        <w:rPr>
          <w:rFonts w:eastAsia="Calibri"/>
          <w:szCs w:val="24"/>
          <w:lang w:val="en-GB"/>
        </w:rPr>
        <w:t>excel</w:t>
      </w:r>
      <w:r w:rsidRPr="008275EC">
        <w:rPr>
          <w:rFonts w:eastAsia="Calibri"/>
          <w:szCs w:val="24"/>
          <w:lang w:val="el-GR"/>
        </w:rPr>
        <w:t xml:space="preserve"> από τον συγγραφέα</w:t>
      </w:r>
      <w:r>
        <w:rPr>
          <w:rFonts w:eastAsia="Calibri"/>
          <w:szCs w:val="24"/>
          <w:lang w:val="el-GR"/>
        </w:rPr>
        <w:t>)</w:t>
      </w:r>
      <w:r w:rsidRPr="008275EC">
        <w:rPr>
          <w:rFonts w:eastAsia="Calibri"/>
          <w:szCs w:val="24"/>
          <w:lang w:val="el-GR"/>
        </w:rPr>
        <w:t>.</w:t>
      </w:r>
    </w:p>
    <w:p w14:paraId="6AD38167" w14:textId="0F8DB733" w:rsidR="008275EC" w:rsidRPr="008275EC" w:rsidRDefault="008275EC" w:rsidP="00D86C58">
      <w:pPr>
        <w:pBdr>
          <w:top w:val="nil"/>
          <w:left w:val="nil"/>
          <w:bottom w:val="nil"/>
          <w:right w:val="nil"/>
          <w:between w:val="nil"/>
          <w:bar w:val="nil"/>
        </w:pBdr>
        <w:spacing w:before="200" w:after="200"/>
        <w:ind w:firstLine="0"/>
        <w:rPr>
          <w:rFonts w:eastAsia="Calibri"/>
          <w:b/>
          <w:bCs/>
          <w:szCs w:val="24"/>
          <w:u w:val="single"/>
          <w:lang w:val="el-GR"/>
        </w:rPr>
      </w:pPr>
    </w:p>
    <w:p w14:paraId="22DF11C5" w14:textId="77777777" w:rsidR="00D86C58" w:rsidRPr="008275EC" w:rsidRDefault="008275EC" w:rsidP="00D86C58">
      <w:pPr>
        <w:spacing w:before="200" w:after="200"/>
        <w:ind w:firstLine="0"/>
        <w:rPr>
          <w:rFonts w:eastAsia="Calibri"/>
          <w:b/>
          <w:bCs/>
          <w:szCs w:val="24"/>
          <w:lang w:val="el-GR"/>
        </w:rPr>
      </w:pPr>
      <w:r w:rsidRPr="008275EC">
        <w:rPr>
          <w:rFonts w:eastAsia="Calibri"/>
          <w:noProof/>
          <w:szCs w:val="24"/>
          <w:lang w:val="el-GR" w:eastAsia="el-GR"/>
        </w:rPr>
        <w:lastRenderedPageBreak/>
        <w:drawing>
          <wp:anchor distT="0" distB="0" distL="114300" distR="114300" simplePos="0" relativeHeight="251678720" behindDoc="0" locked="0" layoutInCell="1" allowOverlap="1" wp14:anchorId="61788302" wp14:editId="20B996F4">
            <wp:simplePos x="0" y="0"/>
            <wp:positionH relativeFrom="margin">
              <wp:posOffset>-572608</wp:posOffset>
            </wp:positionH>
            <wp:positionV relativeFrom="paragraph">
              <wp:posOffset>339</wp:posOffset>
            </wp:positionV>
            <wp:extent cx="6838950" cy="1895475"/>
            <wp:effectExtent l="0" t="0" r="0" b="9525"/>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838950" cy="189547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r w:rsidR="00D86C58" w:rsidRPr="00D86C58">
        <w:rPr>
          <w:rFonts w:eastAsia="Calibri"/>
          <w:b/>
          <w:bCs/>
          <w:szCs w:val="24"/>
          <w:lang w:val="el-GR"/>
        </w:rPr>
        <w:t>Σχήμα</w:t>
      </w:r>
      <w:r w:rsidRPr="008275EC">
        <w:rPr>
          <w:rFonts w:eastAsia="Calibri"/>
          <w:b/>
          <w:bCs/>
          <w:szCs w:val="24"/>
          <w:lang w:val="el-GR"/>
        </w:rPr>
        <w:t xml:space="preserve"> 11β</w:t>
      </w:r>
      <w:r w:rsidR="00D86C58" w:rsidRPr="00D86C58">
        <w:rPr>
          <w:rFonts w:eastAsia="Calibri"/>
          <w:b/>
          <w:bCs/>
          <w:szCs w:val="24"/>
          <w:lang w:val="el-GR"/>
        </w:rPr>
        <w:t>.</w:t>
      </w:r>
      <w:r w:rsidRPr="008275EC">
        <w:rPr>
          <w:rFonts w:eastAsia="Calibri"/>
          <w:b/>
          <w:bCs/>
          <w:szCs w:val="24"/>
          <w:lang w:val="el-GR"/>
        </w:rPr>
        <w:t xml:space="preserve"> </w:t>
      </w:r>
      <w:r w:rsidR="00D86C58" w:rsidRPr="008275EC">
        <w:rPr>
          <w:rFonts w:eastAsia="Calibri"/>
          <w:szCs w:val="24"/>
          <w:lang w:val="el-GR"/>
        </w:rPr>
        <w:t>Ποσοστια</w:t>
      </w:r>
      <w:r w:rsidR="00D86C58">
        <w:rPr>
          <w:rFonts w:eastAsia="Calibri"/>
          <w:szCs w:val="24"/>
          <w:lang w:val="el-GR"/>
        </w:rPr>
        <w:t>ί</w:t>
      </w:r>
      <w:r w:rsidR="00D86C58" w:rsidRPr="008275EC">
        <w:rPr>
          <w:rFonts w:eastAsia="Calibri"/>
          <w:szCs w:val="24"/>
          <w:lang w:val="el-GR"/>
        </w:rPr>
        <w:t>ες Μεταβολ</w:t>
      </w:r>
      <w:r w:rsidR="00D86C58">
        <w:rPr>
          <w:rFonts w:eastAsia="Calibri"/>
          <w:szCs w:val="24"/>
          <w:lang w:val="el-GR"/>
        </w:rPr>
        <w:t>έ</w:t>
      </w:r>
      <w:r w:rsidR="00D86C58" w:rsidRPr="008275EC">
        <w:rPr>
          <w:rFonts w:eastAsia="Calibri"/>
          <w:szCs w:val="24"/>
          <w:lang w:val="el-GR"/>
        </w:rPr>
        <w:t>ς Δε</w:t>
      </w:r>
      <w:r w:rsidR="00D86C58">
        <w:rPr>
          <w:rFonts w:eastAsia="Calibri"/>
          <w:szCs w:val="24"/>
          <w:lang w:val="el-GR"/>
        </w:rPr>
        <w:t>ί</w:t>
      </w:r>
      <w:r w:rsidR="00D86C58" w:rsidRPr="008275EC">
        <w:rPr>
          <w:rFonts w:eastAsia="Calibri"/>
          <w:szCs w:val="24"/>
          <w:lang w:val="el-GR"/>
        </w:rPr>
        <w:t xml:space="preserve">κτη </w:t>
      </w:r>
      <w:r w:rsidRPr="008275EC">
        <w:rPr>
          <w:rFonts w:eastAsia="Calibri"/>
          <w:szCs w:val="24"/>
          <w:lang w:val="el-GR"/>
        </w:rPr>
        <w:t xml:space="preserve">ROE – </w:t>
      </w:r>
      <w:bookmarkStart w:id="85" w:name="_Hlk84965683"/>
      <w:r w:rsidR="00D86C58" w:rsidRPr="008275EC">
        <w:rPr>
          <w:rFonts w:eastAsia="Calibri"/>
          <w:szCs w:val="24"/>
          <w:lang w:val="el-GR"/>
        </w:rPr>
        <w:t>Τρ</w:t>
      </w:r>
      <w:r w:rsidR="00D86C58">
        <w:rPr>
          <w:rFonts w:eastAsia="Calibri"/>
          <w:szCs w:val="24"/>
          <w:lang w:val="el-GR"/>
        </w:rPr>
        <w:t>ά</w:t>
      </w:r>
      <w:r w:rsidR="00D86C58" w:rsidRPr="008275EC">
        <w:rPr>
          <w:rFonts w:eastAsia="Calibri"/>
          <w:szCs w:val="24"/>
          <w:lang w:val="el-GR"/>
        </w:rPr>
        <w:t>πεζα Πειραι</w:t>
      </w:r>
      <w:r w:rsidR="00D86C58">
        <w:rPr>
          <w:rFonts w:eastAsia="Calibri"/>
          <w:szCs w:val="24"/>
          <w:lang w:val="el-GR"/>
        </w:rPr>
        <w:t>ώ</w:t>
      </w:r>
      <w:r w:rsidR="00D86C58" w:rsidRPr="008275EC">
        <w:rPr>
          <w:rFonts w:eastAsia="Calibri"/>
          <w:szCs w:val="24"/>
          <w:lang w:val="el-GR"/>
        </w:rPr>
        <w:t>ς</w:t>
      </w:r>
      <w:r w:rsidR="00D86C58">
        <w:rPr>
          <w:rFonts w:eastAsia="Calibri"/>
          <w:b/>
          <w:bCs/>
          <w:szCs w:val="24"/>
          <w:lang w:val="el-GR"/>
        </w:rPr>
        <w:t xml:space="preserve"> (</w:t>
      </w:r>
      <w:r w:rsidR="00D86C58" w:rsidRPr="008275EC">
        <w:rPr>
          <w:rFonts w:eastAsia="Calibri"/>
          <w:szCs w:val="24"/>
          <w:lang w:val="el-GR"/>
        </w:rPr>
        <w:t xml:space="preserve">Πηγή: Το διάγραμμα δημιουργήθηκε στο </w:t>
      </w:r>
      <w:r w:rsidR="00D86C58" w:rsidRPr="008275EC">
        <w:rPr>
          <w:rFonts w:eastAsia="Calibri"/>
          <w:szCs w:val="24"/>
          <w:lang w:val="en-GB"/>
        </w:rPr>
        <w:t>Microsoft</w:t>
      </w:r>
      <w:r w:rsidR="00D86C58" w:rsidRPr="008275EC">
        <w:rPr>
          <w:rFonts w:eastAsia="Calibri"/>
          <w:szCs w:val="24"/>
          <w:lang w:val="el-GR"/>
        </w:rPr>
        <w:t xml:space="preserve"> </w:t>
      </w:r>
      <w:r w:rsidR="00D86C58" w:rsidRPr="008275EC">
        <w:rPr>
          <w:rFonts w:eastAsia="Calibri"/>
          <w:szCs w:val="24"/>
          <w:lang w:val="en-GB"/>
        </w:rPr>
        <w:t>Office</w:t>
      </w:r>
      <w:r w:rsidR="00D86C58" w:rsidRPr="008275EC">
        <w:rPr>
          <w:rFonts w:eastAsia="Calibri"/>
          <w:szCs w:val="24"/>
          <w:lang w:val="el-GR"/>
        </w:rPr>
        <w:t xml:space="preserve"> </w:t>
      </w:r>
      <w:r w:rsidR="00D86C58" w:rsidRPr="008275EC">
        <w:rPr>
          <w:rFonts w:eastAsia="Calibri"/>
          <w:szCs w:val="24"/>
          <w:lang w:val="en-GB"/>
        </w:rPr>
        <w:t>excel</w:t>
      </w:r>
      <w:r w:rsidR="00D86C58" w:rsidRPr="008275EC">
        <w:rPr>
          <w:rFonts w:eastAsia="Calibri"/>
          <w:szCs w:val="24"/>
          <w:lang w:val="el-GR"/>
        </w:rPr>
        <w:t xml:space="preserve"> από τον συγγραφέα</w:t>
      </w:r>
      <w:r w:rsidR="00D86C58">
        <w:rPr>
          <w:rFonts w:eastAsia="Calibri"/>
          <w:szCs w:val="24"/>
          <w:lang w:val="el-GR"/>
        </w:rPr>
        <w:t>)</w:t>
      </w:r>
      <w:r w:rsidR="00D86C58" w:rsidRPr="008275EC">
        <w:rPr>
          <w:rFonts w:eastAsia="Calibri"/>
          <w:szCs w:val="24"/>
          <w:lang w:val="el-GR"/>
        </w:rPr>
        <w:t>.</w:t>
      </w:r>
    </w:p>
    <w:p w14:paraId="6F2160ED" w14:textId="62B96E6F" w:rsidR="00D86C58" w:rsidRDefault="00D86C58" w:rsidP="00D86C58">
      <w:pPr>
        <w:spacing w:before="200" w:after="200"/>
        <w:ind w:firstLine="0"/>
        <w:rPr>
          <w:rFonts w:eastAsia="Calibri"/>
          <w:szCs w:val="24"/>
          <w:lang w:val="el-GR"/>
        </w:rPr>
      </w:pPr>
    </w:p>
    <w:p w14:paraId="4638E2F5" w14:textId="77777777" w:rsidR="00245119" w:rsidRDefault="008275EC" w:rsidP="00245119">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Ακολούθως, κατά τη διάρκεια της υπό εξέταση περιόδου -από 2005 έως το 2020, το σύνολο του ενεργητικού της Τράπεζας Πειραιώς αυξήθηκε ραγδαία, από 23.545.479.000€ (το 2005) σε 71.576.000.000 € (το 2020), αύξηση περίπου 200%. Οι συνολικές υποχρεώσεις του τραπεζικού οργανισμού αυξήθηκαν -και αυτές- ραγδαία, από 21.937.820.000 € (το 2005) σε 64.423.000.000 € (το 2020), αύξηση περίπου 195%. Οι συνολικές υποχρεώσεις αυξήθηκαν λιγότερο, σε σχέση με το σύνολο των περιουσιακών στοιχείων. Ωστόσο, οι βραχυχρόνιες υποχρεώσεις αυξήθηκαν περίπου όσο και το σύνολο των περιουσιακών στοιχείων, ραγδαία αύξηση 200% (από 21.119.111.000 € το 2005, σε 62.879.000.000 € το 2020). Ακόμη, το σύνολο των ιδίων κεφαλαίων της Τράπεζας Πειραιώς αυξήθηκε από 1.607.659.000 € (το 2005) σε 7.153.000.000 € (το 2020), μια τεράστια αύξηση 345% περίπου. Οι εν λόγω μεγάλες αυξήσεις οφείλονται στις αρκετές συγχώνευσες και εξαγορές που έκανε η επιχείρηση με άλλους τραπεζικούς οργανισμούς. </w:t>
      </w:r>
    </w:p>
    <w:p w14:paraId="62E569EA" w14:textId="6AC943BF" w:rsidR="008275EC" w:rsidRPr="008275EC" w:rsidRDefault="008275EC" w:rsidP="00245119">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Ολοκληρώνοντας με την Τράπεζα Πειραιώς, η τιμή της μετοχής της είναι περίπου στα 3 € -2020- (αυξημένη κατά 285% περίπου σε σχέση με το 2019), έχοντας υποστεί μια τεράστια μείωση τα τελευταία έτη. Το 2005, η τιμή της μετοχής ήταν περίπου 90.000 €, συνεχώς αυξανόμενη μέχρι το 2008, φθάνοντας περίπου τα 245.000 €. Στη συνέχεια άρχισαν οι σταδιακές μειώσεις, φθάνοντας τα πρόσφατα χαμηλά επίπεδα. </w:t>
      </w:r>
    </w:p>
    <w:bookmarkEnd w:id="85"/>
    <w:p w14:paraId="161D1ADD"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09AF012F" w14:textId="7C0ED4DE" w:rsidR="008275EC" w:rsidRPr="008275EC" w:rsidRDefault="008275EC" w:rsidP="008275EC">
      <w:pPr>
        <w:pBdr>
          <w:top w:val="nil"/>
          <w:left w:val="nil"/>
          <w:bottom w:val="nil"/>
          <w:right w:val="nil"/>
          <w:between w:val="nil"/>
          <w:bar w:val="nil"/>
        </w:pBdr>
        <w:spacing w:before="200" w:after="200"/>
        <w:ind w:firstLine="0"/>
        <w:rPr>
          <w:rFonts w:eastAsia="Calibri"/>
          <w:b/>
          <w:bCs/>
          <w:szCs w:val="24"/>
          <w:lang w:val="el-GR"/>
        </w:rPr>
      </w:pPr>
      <w:r w:rsidRPr="008275EC">
        <w:rPr>
          <w:rFonts w:eastAsia="Calibri"/>
          <w:b/>
          <w:bCs/>
          <w:noProof/>
          <w:szCs w:val="24"/>
          <w:lang w:val="el-GR" w:eastAsia="el-GR"/>
        </w:rPr>
        <w:lastRenderedPageBreak/>
        <w:drawing>
          <wp:anchor distT="0" distB="0" distL="114300" distR="114300" simplePos="0" relativeHeight="251679744" behindDoc="0" locked="0" layoutInCell="1" allowOverlap="1" wp14:anchorId="222D9AF8" wp14:editId="76B9CEF0">
            <wp:simplePos x="0" y="0"/>
            <wp:positionH relativeFrom="margin">
              <wp:align>center</wp:align>
            </wp:positionH>
            <wp:positionV relativeFrom="paragraph">
              <wp:posOffset>21768</wp:posOffset>
            </wp:positionV>
            <wp:extent cx="6810375" cy="2333625"/>
            <wp:effectExtent l="19050" t="19050" r="28575" b="28575"/>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810375" cy="2333625"/>
                    </a:xfrm>
                    <a:prstGeom prst="roundRect">
                      <a:avLst>
                        <a:gd name="adj" fmla="val 8594"/>
                      </a:avLst>
                    </a:prstGeom>
                    <a:solidFill>
                      <a:srgbClr val="FFFFFF">
                        <a:shade val="85000"/>
                      </a:srgbClr>
                    </a:solidFill>
                    <a:ln>
                      <a:solidFill>
                        <a:srgbClr val="000000"/>
                      </a:solidFill>
                    </a:ln>
                    <a:effectLst/>
                  </pic:spPr>
                </pic:pic>
              </a:graphicData>
            </a:graphic>
            <wp14:sizeRelH relativeFrom="page">
              <wp14:pctWidth>0</wp14:pctWidth>
            </wp14:sizeRelH>
            <wp14:sizeRelV relativeFrom="page">
              <wp14:pctHeight>0</wp14:pctHeight>
            </wp14:sizeRelV>
          </wp:anchor>
        </w:drawing>
      </w:r>
      <w:r w:rsidR="00245119" w:rsidRPr="00245119">
        <w:rPr>
          <w:rFonts w:eastAsia="Calibri"/>
          <w:b/>
          <w:bCs/>
          <w:szCs w:val="24"/>
          <w:lang w:val="el-GR"/>
        </w:rPr>
        <w:t>Σχήμα</w:t>
      </w:r>
      <w:r w:rsidRPr="008275EC">
        <w:rPr>
          <w:rFonts w:eastAsia="Calibri"/>
          <w:b/>
          <w:bCs/>
          <w:szCs w:val="24"/>
          <w:lang w:val="el-GR"/>
        </w:rPr>
        <w:t xml:space="preserve"> 12</w:t>
      </w:r>
      <w:r w:rsidR="00245119">
        <w:rPr>
          <w:rFonts w:eastAsia="Calibri"/>
          <w:b/>
          <w:bCs/>
          <w:szCs w:val="24"/>
          <w:lang w:val="el-GR"/>
        </w:rPr>
        <w:t>.</w:t>
      </w:r>
      <w:r w:rsidRPr="008275EC">
        <w:rPr>
          <w:rFonts w:eastAsia="Calibri"/>
          <w:b/>
          <w:bCs/>
          <w:szCs w:val="24"/>
          <w:lang w:val="el-GR"/>
        </w:rPr>
        <w:t xml:space="preserve"> </w:t>
      </w:r>
      <w:r w:rsidR="00245119" w:rsidRPr="008275EC">
        <w:rPr>
          <w:rFonts w:eastAsia="Calibri"/>
          <w:szCs w:val="24"/>
          <w:lang w:val="el-GR"/>
        </w:rPr>
        <w:t>Τιμ</w:t>
      </w:r>
      <w:r w:rsidR="00245119">
        <w:rPr>
          <w:rFonts w:eastAsia="Calibri"/>
          <w:szCs w:val="24"/>
          <w:lang w:val="el-GR"/>
        </w:rPr>
        <w:t>ή</w:t>
      </w:r>
      <w:r w:rsidR="00245119" w:rsidRPr="008275EC">
        <w:rPr>
          <w:rFonts w:eastAsia="Calibri"/>
          <w:szCs w:val="24"/>
          <w:lang w:val="el-GR"/>
        </w:rPr>
        <w:t xml:space="preserve"> Μετοχ</w:t>
      </w:r>
      <w:r w:rsidR="00245119">
        <w:rPr>
          <w:rFonts w:eastAsia="Calibri"/>
          <w:szCs w:val="24"/>
          <w:lang w:val="el-GR"/>
        </w:rPr>
        <w:t>ή</w:t>
      </w:r>
      <w:r w:rsidR="00245119" w:rsidRPr="008275EC">
        <w:rPr>
          <w:rFonts w:eastAsia="Calibri"/>
          <w:szCs w:val="24"/>
          <w:lang w:val="el-GR"/>
        </w:rPr>
        <w:t xml:space="preserve">ς (2005 </w:t>
      </w:r>
      <w:r w:rsidR="00245119">
        <w:rPr>
          <w:rFonts w:eastAsia="Calibri"/>
          <w:szCs w:val="24"/>
          <w:lang w:val="el-GR"/>
        </w:rPr>
        <w:t>έως</w:t>
      </w:r>
      <w:r w:rsidR="00245119" w:rsidRPr="008275EC">
        <w:rPr>
          <w:rFonts w:eastAsia="Calibri"/>
          <w:szCs w:val="24"/>
          <w:lang w:val="el-GR"/>
        </w:rPr>
        <w:t xml:space="preserve"> 2020) – Τρ</w:t>
      </w:r>
      <w:r w:rsidR="00245119">
        <w:rPr>
          <w:rFonts w:eastAsia="Calibri"/>
          <w:szCs w:val="24"/>
          <w:lang w:val="el-GR"/>
        </w:rPr>
        <w:t>ά</w:t>
      </w:r>
      <w:r w:rsidR="00245119" w:rsidRPr="008275EC">
        <w:rPr>
          <w:rFonts w:eastAsia="Calibri"/>
          <w:szCs w:val="24"/>
          <w:lang w:val="el-GR"/>
        </w:rPr>
        <w:t>πεζα Πειραι</w:t>
      </w:r>
      <w:r w:rsidR="00245119">
        <w:rPr>
          <w:rFonts w:eastAsia="Calibri"/>
          <w:szCs w:val="24"/>
          <w:lang w:val="el-GR"/>
        </w:rPr>
        <w:t>ώ</w:t>
      </w:r>
      <w:r w:rsidR="00245119" w:rsidRPr="008275EC">
        <w:rPr>
          <w:rFonts w:eastAsia="Calibri"/>
          <w:szCs w:val="24"/>
          <w:lang w:val="el-GR"/>
        </w:rPr>
        <w:t>ς</w:t>
      </w:r>
      <w:r w:rsidR="00245119">
        <w:rPr>
          <w:rFonts w:eastAsia="Calibri"/>
          <w:b/>
          <w:bCs/>
          <w:szCs w:val="24"/>
          <w:lang w:val="el-GR"/>
        </w:rPr>
        <w:t xml:space="preserve"> [</w:t>
      </w:r>
      <w:r w:rsidRPr="008275EC">
        <w:rPr>
          <w:rFonts w:eastAsia="Calibri"/>
          <w:szCs w:val="24"/>
          <w:lang w:val="el-GR"/>
        </w:rPr>
        <w:t>Πηγή: (capital.gr, 2021)</w:t>
      </w:r>
      <w:r w:rsidR="00245119">
        <w:rPr>
          <w:rFonts w:eastAsia="Calibri"/>
          <w:szCs w:val="24"/>
          <w:lang w:val="el-GR"/>
        </w:rPr>
        <w:t>].</w:t>
      </w:r>
    </w:p>
    <w:p w14:paraId="19CD20A6" w14:textId="77777777" w:rsidR="008275EC" w:rsidRPr="008275EC" w:rsidRDefault="008275EC" w:rsidP="008275EC">
      <w:pPr>
        <w:pBdr>
          <w:top w:val="nil"/>
          <w:left w:val="nil"/>
          <w:bottom w:val="nil"/>
          <w:right w:val="nil"/>
          <w:between w:val="nil"/>
          <w:bar w:val="nil"/>
        </w:pBdr>
        <w:spacing w:before="200" w:after="200"/>
        <w:ind w:firstLine="0"/>
        <w:rPr>
          <w:rFonts w:eastAsia="Calibri"/>
          <w:i/>
          <w:iCs/>
          <w:sz w:val="20"/>
          <w:lang w:val="el-GR"/>
        </w:rPr>
      </w:pPr>
    </w:p>
    <w:p w14:paraId="6D6A3919" w14:textId="5DC9D5B3" w:rsidR="008275EC" w:rsidRPr="008275EC" w:rsidRDefault="00245119" w:rsidP="00245119">
      <w:pPr>
        <w:pBdr>
          <w:top w:val="nil"/>
          <w:left w:val="nil"/>
          <w:bottom w:val="nil"/>
          <w:right w:val="nil"/>
          <w:between w:val="nil"/>
          <w:bar w:val="nil"/>
        </w:pBdr>
        <w:spacing w:before="200" w:after="200"/>
        <w:ind w:firstLine="0"/>
        <w:jc w:val="center"/>
        <w:rPr>
          <w:rFonts w:eastAsia="Calibri"/>
          <w:szCs w:val="24"/>
          <w:lang w:val="el-GR"/>
        </w:rPr>
      </w:pPr>
      <w:r w:rsidRPr="00245119">
        <w:rPr>
          <w:rFonts w:eastAsia="Calibri"/>
          <w:szCs w:val="24"/>
          <w:lang w:val="el-GR"/>
        </w:rPr>
        <w:t>4</w:t>
      </w:r>
      <w:r w:rsidR="008275EC" w:rsidRPr="008275EC">
        <w:rPr>
          <w:rFonts w:eastAsia="Calibri"/>
          <w:szCs w:val="24"/>
          <w:lang w:val="el-GR"/>
        </w:rPr>
        <w:t xml:space="preserve">.1.4. </w:t>
      </w:r>
      <w:r w:rsidR="008275EC" w:rsidRPr="008275EC">
        <w:rPr>
          <w:rFonts w:eastAsia="Calibri"/>
          <w:szCs w:val="24"/>
        </w:rPr>
        <w:t>ALPHA</w:t>
      </w:r>
      <w:r w:rsidR="008275EC" w:rsidRPr="008275EC">
        <w:rPr>
          <w:rFonts w:eastAsia="Calibri"/>
          <w:szCs w:val="24"/>
          <w:lang w:val="el-GR"/>
        </w:rPr>
        <w:t xml:space="preserve"> </w:t>
      </w:r>
      <w:r w:rsidR="008275EC" w:rsidRPr="008275EC">
        <w:rPr>
          <w:rFonts w:eastAsia="Calibri"/>
          <w:szCs w:val="24"/>
        </w:rPr>
        <w:t>BANK</w:t>
      </w:r>
    </w:p>
    <w:p w14:paraId="1F1D6826" w14:textId="77777777" w:rsidR="008275EC" w:rsidRPr="008275EC" w:rsidRDefault="008275EC" w:rsidP="00245119">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Ολοκληρώνοντας με την τελευταία τράπεζα του δείγματος μας,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κατά τα χρόνια εξέτασης, δηλαδή από το 2005 έως και το 2020, είχε αυξομειώσεις στα κέρδη της, ενώ τέσσερις χρονιές παρουσίασε ζημιές. Το 2020 ο οργανισμός παρουσίασε κέρδη ύψους 103.945.000 € (αύξηση περίπου κατά 7,15%, σε σχέση με  το 2019). Κατά τα χρόνια πριν το ξέσπασμα της οικονομικής κρίσης, η Τράπεζα Πειραιώς εμφάνιζε κέρδη. Για την ακρίβεια, το 2005, η τράπεζα εμφάνισε κέρδη ύψους 505.870.000 €. Τα εν λόγω κέρδη συνέχισαν να αυξάνονται έως το 2007, όπου έφθασαν τα 851.086.000 €. Από το 2008 και ύστερα, άρχισαν οι μειώσεις. Οι πρώτες ζημιές εμφανίστηκαν το 2011, και ήταν ύψους 3.809.949.000 €. Κέρδη εμφανίστηκαν ξανά το 2013 (ύψους 2.922.224.000 €). Το 2014 και το 2015,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εμφάνισε ζημιές. Πιο συγκεκριμένα, τη χρονιά των </w:t>
      </w:r>
      <w:r w:rsidRPr="008275EC">
        <w:rPr>
          <w:rFonts w:eastAsia="Calibri"/>
          <w:szCs w:val="24"/>
        </w:rPr>
        <w:t>capital</w:t>
      </w:r>
      <w:r w:rsidRPr="008275EC">
        <w:rPr>
          <w:rFonts w:eastAsia="Calibri"/>
          <w:szCs w:val="24"/>
          <w:lang w:val="el-GR"/>
        </w:rPr>
        <w:t xml:space="preserve"> </w:t>
      </w:r>
      <w:r w:rsidRPr="008275EC">
        <w:rPr>
          <w:rFonts w:eastAsia="Calibri"/>
          <w:szCs w:val="24"/>
        </w:rPr>
        <w:t>controls</w:t>
      </w:r>
      <w:r w:rsidRPr="008275EC">
        <w:rPr>
          <w:rFonts w:eastAsia="Calibri"/>
          <w:szCs w:val="24"/>
          <w:lang w:val="el-GR"/>
        </w:rPr>
        <w:t xml:space="preserve"> (2015), η τράπεζα εμφάνισε ζημιές ύψους 1.371.714.000 €. Ενώ, τη χρονιά αμέσως μετά τα </w:t>
      </w:r>
      <w:r w:rsidRPr="008275EC">
        <w:rPr>
          <w:rFonts w:eastAsia="Calibri"/>
          <w:szCs w:val="24"/>
        </w:rPr>
        <w:t>capital</w:t>
      </w:r>
      <w:r w:rsidRPr="008275EC">
        <w:rPr>
          <w:rFonts w:eastAsia="Calibri"/>
          <w:szCs w:val="24"/>
          <w:lang w:val="el-GR"/>
        </w:rPr>
        <w:t xml:space="preserve"> </w:t>
      </w:r>
      <w:r w:rsidRPr="008275EC">
        <w:rPr>
          <w:rFonts w:eastAsia="Calibri"/>
          <w:szCs w:val="24"/>
        </w:rPr>
        <w:t>controls</w:t>
      </w:r>
      <w:r w:rsidRPr="008275EC">
        <w:rPr>
          <w:rFonts w:eastAsia="Calibri"/>
          <w:szCs w:val="24"/>
          <w:lang w:val="el-GR"/>
        </w:rPr>
        <w:t xml:space="preserve"> (2016), η τράπεζα εμφάνισε εκ νέου κέρδη. Από τη χρονιά εκείνη, έως και το 2020, τα συνολικά κέρδη της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έχουν αυξηθεί.</w:t>
      </w:r>
    </w:p>
    <w:p w14:paraId="46313B38"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10C03212" w14:textId="23736C30" w:rsidR="008275EC" w:rsidRPr="008275EC" w:rsidRDefault="008275EC" w:rsidP="008275EC">
      <w:pPr>
        <w:pBdr>
          <w:top w:val="nil"/>
          <w:left w:val="nil"/>
          <w:bottom w:val="nil"/>
          <w:right w:val="nil"/>
          <w:between w:val="nil"/>
          <w:bar w:val="nil"/>
        </w:pBdr>
        <w:spacing w:before="200" w:after="200"/>
        <w:ind w:firstLine="0"/>
        <w:rPr>
          <w:rFonts w:eastAsia="Calibri"/>
          <w:b/>
          <w:bCs/>
          <w:szCs w:val="24"/>
          <w:lang w:val="el-GR"/>
        </w:rPr>
      </w:pPr>
      <w:r w:rsidRPr="008275EC">
        <w:rPr>
          <w:rFonts w:eastAsia="Calibri"/>
          <w:noProof/>
          <w:szCs w:val="24"/>
          <w:lang w:val="el-GR" w:eastAsia="el-GR"/>
        </w:rPr>
        <w:lastRenderedPageBreak/>
        <w:drawing>
          <wp:anchor distT="0" distB="0" distL="114300" distR="114300" simplePos="0" relativeHeight="251680768" behindDoc="0" locked="0" layoutInCell="1" allowOverlap="1" wp14:anchorId="49FB20CC" wp14:editId="0974E242">
            <wp:simplePos x="0" y="0"/>
            <wp:positionH relativeFrom="margin">
              <wp:align>center</wp:align>
            </wp:positionH>
            <wp:positionV relativeFrom="paragraph">
              <wp:posOffset>236</wp:posOffset>
            </wp:positionV>
            <wp:extent cx="6791325" cy="2447925"/>
            <wp:effectExtent l="0" t="0" r="9525" b="9525"/>
            <wp:wrapTopAndBottom/>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791325" cy="244792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r w:rsidR="00245119" w:rsidRPr="00245119">
        <w:rPr>
          <w:rFonts w:eastAsia="Calibri"/>
          <w:b/>
          <w:bCs/>
          <w:szCs w:val="24"/>
          <w:lang w:val="el-GR"/>
        </w:rPr>
        <w:t>Σχήμα</w:t>
      </w:r>
      <w:r w:rsidRPr="008275EC">
        <w:rPr>
          <w:rFonts w:eastAsia="Calibri"/>
          <w:b/>
          <w:bCs/>
          <w:szCs w:val="24"/>
          <w:lang w:val="el-GR"/>
        </w:rPr>
        <w:t xml:space="preserve"> 13α</w:t>
      </w:r>
      <w:r w:rsidR="00245119" w:rsidRPr="00245119">
        <w:rPr>
          <w:rFonts w:eastAsia="Calibri"/>
          <w:b/>
          <w:bCs/>
          <w:szCs w:val="24"/>
          <w:lang w:val="el-GR"/>
        </w:rPr>
        <w:t>.</w:t>
      </w:r>
      <w:r w:rsidRPr="008275EC">
        <w:rPr>
          <w:rFonts w:eastAsia="Calibri"/>
          <w:b/>
          <w:bCs/>
          <w:szCs w:val="24"/>
          <w:lang w:val="el-GR"/>
        </w:rPr>
        <w:t xml:space="preserve"> </w:t>
      </w:r>
      <w:r w:rsidR="00245119" w:rsidRPr="008275EC">
        <w:rPr>
          <w:rFonts w:eastAsia="Calibri"/>
          <w:szCs w:val="24"/>
          <w:lang w:val="el-GR"/>
        </w:rPr>
        <w:t>Καθαρ</w:t>
      </w:r>
      <w:r w:rsidR="00245119">
        <w:rPr>
          <w:rFonts w:eastAsia="Calibri"/>
          <w:szCs w:val="24"/>
          <w:lang w:val="el-GR"/>
        </w:rPr>
        <w:t>ά</w:t>
      </w:r>
      <w:r w:rsidR="00245119" w:rsidRPr="008275EC">
        <w:rPr>
          <w:rFonts w:eastAsia="Calibri"/>
          <w:szCs w:val="24"/>
          <w:lang w:val="el-GR"/>
        </w:rPr>
        <w:t xml:space="preserve"> Κ</w:t>
      </w:r>
      <w:r w:rsidR="00245119">
        <w:rPr>
          <w:rFonts w:eastAsia="Calibri"/>
          <w:szCs w:val="24"/>
          <w:lang w:val="el-GR"/>
        </w:rPr>
        <w:t>έ</w:t>
      </w:r>
      <w:r w:rsidR="00245119" w:rsidRPr="008275EC">
        <w:rPr>
          <w:rFonts w:eastAsia="Calibri"/>
          <w:szCs w:val="24"/>
          <w:lang w:val="el-GR"/>
        </w:rPr>
        <w:t>ρδη/ Ζημι</w:t>
      </w:r>
      <w:r w:rsidR="00245119">
        <w:rPr>
          <w:rFonts w:eastAsia="Calibri"/>
          <w:szCs w:val="24"/>
          <w:lang w:val="el-GR"/>
        </w:rPr>
        <w:t>έ</w:t>
      </w:r>
      <w:r w:rsidR="00245119" w:rsidRPr="008275EC">
        <w:rPr>
          <w:rFonts w:eastAsia="Calibri"/>
          <w:szCs w:val="24"/>
          <w:lang w:val="el-GR"/>
        </w:rPr>
        <w:t xml:space="preserve">ς – </w:t>
      </w:r>
      <w:r w:rsidR="00245119" w:rsidRPr="008275EC">
        <w:rPr>
          <w:rFonts w:eastAsia="Calibri"/>
          <w:szCs w:val="24"/>
        </w:rPr>
        <w:t>Alpha</w:t>
      </w:r>
      <w:r w:rsidR="00245119" w:rsidRPr="008275EC">
        <w:rPr>
          <w:rFonts w:eastAsia="Calibri"/>
          <w:szCs w:val="24"/>
          <w:lang w:val="el-GR"/>
        </w:rPr>
        <w:t xml:space="preserve"> </w:t>
      </w:r>
      <w:r w:rsidR="00245119" w:rsidRPr="008275EC">
        <w:rPr>
          <w:rFonts w:eastAsia="Calibri"/>
          <w:szCs w:val="24"/>
        </w:rPr>
        <w:t>Bank</w:t>
      </w:r>
      <w:r w:rsidRPr="008275EC">
        <w:rPr>
          <w:rFonts w:eastAsia="Calibri"/>
          <w:sz w:val="16"/>
          <w:szCs w:val="16"/>
          <w:vertAlign w:val="superscript"/>
        </w:rPr>
        <w:footnoteReference w:id="15"/>
      </w:r>
      <w:bookmarkStart w:id="86" w:name="_Hlk84961190"/>
      <w:r w:rsidR="00245119">
        <w:rPr>
          <w:rFonts w:eastAsia="Calibri"/>
          <w:b/>
          <w:bCs/>
          <w:szCs w:val="24"/>
          <w:lang w:val="el-GR"/>
        </w:rPr>
        <w:t xml:space="preserve"> (</w:t>
      </w:r>
      <w:r w:rsidRPr="008275EC">
        <w:rPr>
          <w:rFonts w:eastAsia="Calibri"/>
          <w:szCs w:val="24"/>
          <w:lang w:val="el-GR"/>
        </w:rPr>
        <w:t xml:space="preserve">Πηγή: Το διάγραμμα δημιουργήθηκε στο </w:t>
      </w:r>
      <w:r w:rsidRPr="008275EC">
        <w:rPr>
          <w:rFonts w:eastAsia="Calibri"/>
          <w:szCs w:val="24"/>
          <w:lang w:val="en-GB"/>
        </w:rPr>
        <w:t>Microsoft</w:t>
      </w:r>
      <w:r w:rsidRPr="008275EC">
        <w:rPr>
          <w:rFonts w:eastAsia="Calibri"/>
          <w:szCs w:val="24"/>
          <w:lang w:val="el-GR"/>
        </w:rPr>
        <w:t xml:space="preserve"> </w:t>
      </w:r>
      <w:r w:rsidRPr="008275EC">
        <w:rPr>
          <w:rFonts w:eastAsia="Calibri"/>
          <w:szCs w:val="24"/>
          <w:lang w:val="en-GB"/>
        </w:rPr>
        <w:t>Office</w:t>
      </w:r>
      <w:r w:rsidRPr="008275EC">
        <w:rPr>
          <w:rFonts w:eastAsia="Calibri"/>
          <w:szCs w:val="24"/>
          <w:lang w:val="el-GR"/>
        </w:rPr>
        <w:t xml:space="preserve"> </w:t>
      </w:r>
      <w:r w:rsidRPr="008275EC">
        <w:rPr>
          <w:rFonts w:eastAsia="Calibri"/>
          <w:szCs w:val="24"/>
          <w:lang w:val="en-GB"/>
        </w:rPr>
        <w:t>excel</w:t>
      </w:r>
      <w:r w:rsidRPr="008275EC">
        <w:rPr>
          <w:rFonts w:eastAsia="Calibri"/>
          <w:szCs w:val="24"/>
          <w:lang w:val="el-GR"/>
        </w:rPr>
        <w:t xml:space="preserve"> από τον συγγραφέα</w:t>
      </w:r>
      <w:r w:rsidR="00245119">
        <w:rPr>
          <w:rFonts w:eastAsia="Calibri"/>
          <w:szCs w:val="24"/>
          <w:lang w:val="el-GR"/>
        </w:rPr>
        <w:t>)</w:t>
      </w:r>
      <w:r w:rsidRPr="008275EC">
        <w:rPr>
          <w:rFonts w:eastAsia="Calibri"/>
          <w:szCs w:val="24"/>
          <w:lang w:val="el-GR"/>
        </w:rPr>
        <w:t>.</w:t>
      </w:r>
    </w:p>
    <w:bookmarkEnd w:id="86"/>
    <w:p w14:paraId="384DA3B9" w14:textId="2F4A5081" w:rsidR="008275EC" w:rsidRPr="008275EC" w:rsidRDefault="00245119" w:rsidP="008275EC">
      <w:pPr>
        <w:pBdr>
          <w:top w:val="nil"/>
          <w:left w:val="nil"/>
          <w:bottom w:val="nil"/>
          <w:right w:val="nil"/>
          <w:between w:val="nil"/>
          <w:bar w:val="nil"/>
        </w:pBdr>
        <w:spacing w:before="200" w:after="200"/>
        <w:ind w:firstLine="0"/>
        <w:rPr>
          <w:rFonts w:eastAsia="Calibri"/>
          <w:b/>
          <w:bCs/>
          <w:szCs w:val="24"/>
          <w:u w:val="single"/>
          <w:lang w:val="el-GR"/>
        </w:rPr>
      </w:pPr>
      <w:r w:rsidRPr="008275EC">
        <w:rPr>
          <w:rFonts w:eastAsia="Calibri"/>
          <w:noProof/>
          <w:szCs w:val="24"/>
          <w:lang w:val="el-GR" w:eastAsia="el-GR"/>
        </w:rPr>
        <w:drawing>
          <wp:anchor distT="0" distB="0" distL="114300" distR="114300" simplePos="0" relativeHeight="251681792" behindDoc="0" locked="0" layoutInCell="1" allowOverlap="1" wp14:anchorId="481B4128" wp14:editId="50FF25C0">
            <wp:simplePos x="0" y="0"/>
            <wp:positionH relativeFrom="margin">
              <wp:align>center</wp:align>
            </wp:positionH>
            <wp:positionV relativeFrom="paragraph">
              <wp:posOffset>481330</wp:posOffset>
            </wp:positionV>
            <wp:extent cx="6819900" cy="1876425"/>
            <wp:effectExtent l="0" t="0" r="0" b="9525"/>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819900" cy="187642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4EE69101" w14:textId="1E033198" w:rsidR="008275EC" w:rsidRPr="008275EC" w:rsidRDefault="00245119" w:rsidP="008275EC">
      <w:pPr>
        <w:pBdr>
          <w:top w:val="nil"/>
          <w:left w:val="nil"/>
          <w:bottom w:val="nil"/>
          <w:right w:val="nil"/>
          <w:between w:val="nil"/>
          <w:bar w:val="nil"/>
        </w:pBdr>
        <w:spacing w:before="200" w:after="200"/>
        <w:ind w:firstLine="0"/>
        <w:rPr>
          <w:rFonts w:eastAsia="Calibri"/>
          <w:szCs w:val="24"/>
          <w:lang w:val="el-GR"/>
        </w:rPr>
      </w:pPr>
      <w:r>
        <w:rPr>
          <w:rFonts w:eastAsia="Calibri"/>
          <w:b/>
          <w:bCs/>
          <w:szCs w:val="24"/>
          <w:lang w:val="el-GR"/>
        </w:rPr>
        <w:t>Σχήμα</w:t>
      </w:r>
      <w:r w:rsidR="008275EC" w:rsidRPr="008275EC">
        <w:rPr>
          <w:rFonts w:eastAsia="Calibri"/>
          <w:b/>
          <w:bCs/>
          <w:szCs w:val="24"/>
          <w:lang w:val="el-GR"/>
        </w:rPr>
        <w:t xml:space="preserve"> 13β</w:t>
      </w:r>
      <w:r>
        <w:rPr>
          <w:rFonts w:eastAsia="Calibri"/>
          <w:b/>
          <w:bCs/>
          <w:szCs w:val="24"/>
          <w:lang w:val="el-GR"/>
        </w:rPr>
        <w:t>.</w:t>
      </w:r>
      <w:r w:rsidR="008275EC" w:rsidRPr="008275EC">
        <w:rPr>
          <w:rFonts w:eastAsia="Calibri"/>
          <w:b/>
          <w:bCs/>
          <w:szCs w:val="24"/>
          <w:lang w:val="el-GR"/>
        </w:rPr>
        <w:t xml:space="preserve"> </w:t>
      </w:r>
      <w:r w:rsidRPr="008275EC">
        <w:rPr>
          <w:rFonts w:eastAsia="Calibri"/>
          <w:szCs w:val="24"/>
          <w:lang w:val="el-GR"/>
        </w:rPr>
        <w:t>Ποσοστια</w:t>
      </w:r>
      <w:r>
        <w:rPr>
          <w:rFonts w:eastAsia="Calibri"/>
          <w:szCs w:val="24"/>
          <w:lang w:val="el-GR"/>
        </w:rPr>
        <w:t>ί</w:t>
      </w:r>
      <w:r w:rsidRPr="008275EC">
        <w:rPr>
          <w:rFonts w:eastAsia="Calibri"/>
          <w:szCs w:val="24"/>
          <w:lang w:val="el-GR"/>
        </w:rPr>
        <w:t>ες Μεταβολ</w:t>
      </w:r>
      <w:r>
        <w:rPr>
          <w:rFonts w:eastAsia="Calibri"/>
          <w:szCs w:val="24"/>
          <w:lang w:val="el-GR"/>
        </w:rPr>
        <w:t>έ</w:t>
      </w:r>
      <w:r w:rsidRPr="008275EC">
        <w:rPr>
          <w:rFonts w:eastAsia="Calibri"/>
          <w:szCs w:val="24"/>
          <w:lang w:val="el-GR"/>
        </w:rPr>
        <w:t>ς Καθαρ</w:t>
      </w:r>
      <w:r>
        <w:rPr>
          <w:rFonts w:eastAsia="Calibri"/>
          <w:szCs w:val="24"/>
          <w:lang w:val="el-GR"/>
        </w:rPr>
        <w:t>ώ</w:t>
      </w:r>
      <w:r w:rsidRPr="008275EC">
        <w:rPr>
          <w:rFonts w:eastAsia="Calibri"/>
          <w:szCs w:val="24"/>
          <w:lang w:val="el-GR"/>
        </w:rPr>
        <w:t>ν Κερδ</w:t>
      </w:r>
      <w:r>
        <w:rPr>
          <w:rFonts w:eastAsia="Calibri"/>
          <w:szCs w:val="24"/>
          <w:lang w:val="el-GR"/>
        </w:rPr>
        <w:t>ώ</w:t>
      </w:r>
      <w:r w:rsidRPr="008275EC">
        <w:rPr>
          <w:rFonts w:eastAsia="Calibri"/>
          <w:szCs w:val="24"/>
          <w:lang w:val="el-GR"/>
        </w:rPr>
        <w:t>ν/ Ζημι</w:t>
      </w:r>
      <w:r>
        <w:rPr>
          <w:rFonts w:eastAsia="Calibri"/>
          <w:szCs w:val="24"/>
          <w:lang w:val="el-GR"/>
        </w:rPr>
        <w:t>ώ</w:t>
      </w:r>
      <w:r w:rsidRPr="008275EC">
        <w:rPr>
          <w:rFonts w:eastAsia="Calibri"/>
          <w:szCs w:val="24"/>
          <w:lang w:val="el-GR"/>
        </w:rPr>
        <w:t xml:space="preserve">ν – </w:t>
      </w:r>
      <w:bookmarkStart w:id="87" w:name="_Hlk88470314"/>
      <w:r w:rsidRPr="008275EC">
        <w:rPr>
          <w:rFonts w:eastAsia="Calibri"/>
          <w:szCs w:val="24"/>
          <w:lang w:val="el-GR"/>
        </w:rPr>
        <w:t>Alpha Bank</w:t>
      </w:r>
      <w:r>
        <w:rPr>
          <w:rFonts w:eastAsia="Calibri"/>
          <w:szCs w:val="24"/>
          <w:lang w:val="el-GR"/>
        </w:rPr>
        <w:t xml:space="preserve"> (</w:t>
      </w:r>
      <w:r w:rsidR="008275EC" w:rsidRPr="008275EC">
        <w:rPr>
          <w:rFonts w:eastAsia="Calibri"/>
          <w:szCs w:val="24"/>
          <w:lang w:val="el-GR"/>
        </w:rPr>
        <w:t xml:space="preserve">Πηγή: Το διάγραμμα δημιουργήθηκε στο </w:t>
      </w:r>
      <w:r w:rsidR="008275EC" w:rsidRPr="008275EC">
        <w:rPr>
          <w:rFonts w:eastAsia="Calibri"/>
          <w:szCs w:val="24"/>
          <w:lang w:val="en-GB"/>
        </w:rPr>
        <w:t>Microsoft</w:t>
      </w:r>
      <w:r w:rsidR="008275EC" w:rsidRPr="008275EC">
        <w:rPr>
          <w:rFonts w:eastAsia="Calibri"/>
          <w:szCs w:val="24"/>
          <w:lang w:val="el-GR"/>
        </w:rPr>
        <w:t xml:space="preserve"> </w:t>
      </w:r>
      <w:r w:rsidR="008275EC" w:rsidRPr="008275EC">
        <w:rPr>
          <w:rFonts w:eastAsia="Calibri"/>
          <w:szCs w:val="24"/>
          <w:lang w:val="en-GB"/>
        </w:rPr>
        <w:t>Office</w:t>
      </w:r>
      <w:r w:rsidR="008275EC" w:rsidRPr="008275EC">
        <w:rPr>
          <w:rFonts w:eastAsia="Calibri"/>
          <w:szCs w:val="24"/>
          <w:lang w:val="el-GR"/>
        </w:rPr>
        <w:t xml:space="preserve"> </w:t>
      </w:r>
      <w:r w:rsidR="008275EC" w:rsidRPr="008275EC">
        <w:rPr>
          <w:rFonts w:eastAsia="Calibri"/>
          <w:szCs w:val="24"/>
          <w:lang w:val="en-GB"/>
        </w:rPr>
        <w:t>excel</w:t>
      </w:r>
      <w:r w:rsidR="008275EC" w:rsidRPr="008275EC">
        <w:rPr>
          <w:rFonts w:eastAsia="Calibri"/>
          <w:szCs w:val="24"/>
          <w:lang w:val="el-GR"/>
        </w:rPr>
        <w:t xml:space="preserve"> από τον συγγραφέα</w:t>
      </w:r>
      <w:r>
        <w:rPr>
          <w:rFonts w:eastAsia="Calibri"/>
          <w:szCs w:val="24"/>
          <w:lang w:val="el-GR"/>
        </w:rPr>
        <w:t>)</w:t>
      </w:r>
      <w:r w:rsidR="008275EC" w:rsidRPr="008275EC">
        <w:rPr>
          <w:rFonts w:eastAsia="Calibri"/>
          <w:szCs w:val="24"/>
          <w:lang w:val="el-GR"/>
        </w:rPr>
        <w:t>.</w:t>
      </w:r>
      <w:bookmarkEnd w:id="87"/>
    </w:p>
    <w:p w14:paraId="7E55C001" w14:textId="77777777" w:rsidR="008275EC" w:rsidRPr="008275EC" w:rsidRDefault="008275EC" w:rsidP="008275EC">
      <w:pPr>
        <w:pBdr>
          <w:top w:val="nil"/>
          <w:left w:val="nil"/>
          <w:bottom w:val="nil"/>
          <w:right w:val="nil"/>
          <w:between w:val="nil"/>
          <w:bar w:val="nil"/>
        </w:pBdr>
        <w:spacing w:before="200" w:after="200"/>
        <w:ind w:firstLine="0"/>
        <w:rPr>
          <w:rFonts w:eastAsia="Calibri"/>
          <w:sz w:val="32"/>
          <w:szCs w:val="32"/>
          <w:lang w:val="el-GR"/>
        </w:rPr>
      </w:pPr>
    </w:p>
    <w:p w14:paraId="3AB3F51A" w14:textId="77777777" w:rsidR="008275EC" w:rsidRPr="008275EC" w:rsidRDefault="008275EC" w:rsidP="00245119">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Συνεχίζοντας, όσον αφορά τον δείκτη </w:t>
      </w:r>
      <w:r w:rsidRPr="008275EC">
        <w:rPr>
          <w:rFonts w:eastAsia="Calibri"/>
          <w:szCs w:val="24"/>
        </w:rPr>
        <w:t>ROA</w:t>
      </w:r>
      <w:r w:rsidRPr="008275EC">
        <w:rPr>
          <w:rFonts w:eastAsia="Calibri"/>
          <w:szCs w:val="24"/>
          <w:lang w:val="el-GR"/>
        </w:rPr>
        <w:t xml:space="preserve"> της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καθ’ όλη την υπό εξέταση περίοδο είναι χαμηλός, και κάτω από το ανεκτό όριο του 5%. Μερικά χρόνια είναι και αρνητικός ακολουθώντας τις ζημιές της τράπεζας. Το 2020, ο δείκτης ήταν οριακά μεγαλύτερος του μηδέν (0,15%), με σχεδόν μηδενική μεταβολή μεταξύ του 2019 και του 2020. Στον αντίποδα, το 2005, </w:t>
      </w:r>
      <w:r w:rsidRPr="008275EC">
        <w:rPr>
          <w:rFonts w:eastAsia="Calibri"/>
          <w:szCs w:val="24"/>
          <w:lang w:val="el-GR"/>
        </w:rPr>
        <w:lastRenderedPageBreak/>
        <w:t xml:space="preserve">ο δείκτης </w:t>
      </w:r>
      <w:r w:rsidRPr="008275EC">
        <w:rPr>
          <w:rFonts w:eastAsia="Calibri"/>
          <w:szCs w:val="24"/>
        </w:rPr>
        <w:t>ROA</w:t>
      </w:r>
      <w:r w:rsidRPr="008275EC">
        <w:rPr>
          <w:rFonts w:eastAsia="Calibri"/>
          <w:szCs w:val="24"/>
          <w:lang w:val="el-GR"/>
        </w:rPr>
        <w:t xml:space="preserve"> ήταν περίπου στο 1,15%. Το 2006 μειώθηκε, για να αυξηθεί εκ νέου το 2007, σε 1,56%. Ωστόσο, στα χρόνια που ακολούθησαν άρχισαν οι σταδιακές μειώσεις. Καλύτερη χρονιά για τον δείκτη ήταν το 2013 (3,97%), ενώ, η χειρότερη χρονιά ήταν το 2011 (-6,50%). Οι χαμηλές τιμές του δείκτη εκφράζουν ότι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αντιμετωπίζει προβλήματα στη χρήση των περιουσιακών της στοιχείων. Η πορεία του δείκτη ROA ακολουθεί κυρίως την πορεία των καθαρών κερδών/ ζημιών.</w:t>
      </w:r>
    </w:p>
    <w:p w14:paraId="24CEC156" w14:textId="10DE41CD" w:rsidR="008275EC" w:rsidRPr="008275EC" w:rsidRDefault="00245119" w:rsidP="008275EC">
      <w:pPr>
        <w:pBdr>
          <w:top w:val="nil"/>
          <w:left w:val="nil"/>
          <w:bottom w:val="nil"/>
          <w:right w:val="nil"/>
          <w:between w:val="nil"/>
          <w:bar w:val="nil"/>
        </w:pBdr>
        <w:spacing w:before="200" w:after="200"/>
        <w:ind w:firstLine="0"/>
        <w:rPr>
          <w:rFonts w:eastAsia="Calibri"/>
          <w:szCs w:val="24"/>
          <w:lang w:val="el-GR"/>
        </w:rPr>
      </w:pPr>
      <w:r w:rsidRPr="008275EC">
        <w:rPr>
          <w:rFonts w:eastAsia="Calibri"/>
          <w:noProof/>
          <w:szCs w:val="24"/>
          <w:lang w:val="el-GR" w:eastAsia="el-GR"/>
        </w:rPr>
        <w:drawing>
          <wp:anchor distT="0" distB="0" distL="114300" distR="114300" simplePos="0" relativeHeight="251682816" behindDoc="0" locked="0" layoutInCell="1" allowOverlap="1" wp14:anchorId="793B459C" wp14:editId="398F0667">
            <wp:simplePos x="0" y="0"/>
            <wp:positionH relativeFrom="margin">
              <wp:align>center</wp:align>
            </wp:positionH>
            <wp:positionV relativeFrom="paragraph">
              <wp:posOffset>400316</wp:posOffset>
            </wp:positionV>
            <wp:extent cx="6838950" cy="1943100"/>
            <wp:effectExtent l="0" t="0" r="0" b="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838950" cy="1943100"/>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4DB8A08C" w14:textId="7F23D733" w:rsidR="00245119" w:rsidRDefault="00245119" w:rsidP="00245119">
      <w:pPr>
        <w:pBdr>
          <w:top w:val="nil"/>
          <w:left w:val="nil"/>
          <w:bottom w:val="nil"/>
          <w:right w:val="nil"/>
          <w:between w:val="nil"/>
          <w:bar w:val="nil"/>
        </w:pBdr>
        <w:spacing w:before="200" w:after="200"/>
        <w:ind w:firstLine="0"/>
        <w:rPr>
          <w:rFonts w:eastAsia="Calibri"/>
          <w:szCs w:val="24"/>
          <w:lang w:val="el-GR"/>
        </w:rPr>
      </w:pPr>
      <w:r w:rsidRPr="00245119">
        <w:rPr>
          <w:rFonts w:eastAsia="Calibri"/>
          <w:b/>
          <w:bCs/>
          <w:szCs w:val="24"/>
          <w:lang w:val="el-GR"/>
        </w:rPr>
        <w:t>Σχήμα</w:t>
      </w:r>
      <w:r w:rsidR="008275EC" w:rsidRPr="008275EC">
        <w:rPr>
          <w:rFonts w:eastAsia="Calibri"/>
          <w:b/>
          <w:bCs/>
          <w:szCs w:val="24"/>
          <w:lang w:val="el-GR"/>
        </w:rPr>
        <w:t xml:space="preserve"> 14α</w:t>
      </w:r>
      <w:r w:rsidRPr="00245119">
        <w:rPr>
          <w:rFonts w:eastAsia="Calibri"/>
          <w:b/>
          <w:bCs/>
          <w:szCs w:val="24"/>
          <w:lang w:val="el-GR"/>
        </w:rPr>
        <w:t>.</w:t>
      </w:r>
      <w:r w:rsidR="008275EC" w:rsidRPr="008275EC">
        <w:rPr>
          <w:rFonts w:eastAsia="Calibri"/>
          <w:b/>
          <w:bCs/>
          <w:szCs w:val="24"/>
          <w:lang w:val="el-GR"/>
        </w:rPr>
        <w:t xml:space="preserve"> </w:t>
      </w:r>
      <w:r w:rsidR="008275EC" w:rsidRPr="008275EC">
        <w:rPr>
          <w:rFonts w:eastAsia="Calibri"/>
          <w:szCs w:val="24"/>
          <w:lang w:val="el-GR"/>
        </w:rPr>
        <w:t>Δ</w:t>
      </w:r>
      <w:r>
        <w:rPr>
          <w:rFonts w:eastAsia="Calibri"/>
          <w:szCs w:val="24"/>
          <w:lang w:val="el-GR"/>
        </w:rPr>
        <w:t xml:space="preserve">είκτης </w:t>
      </w:r>
      <w:r w:rsidR="008275EC" w:rsidRPr="008275EC">
        <w:rPr>
          <w:rFonts w:eastAsia="Calibri"/>
          <w:szCs w:val="24"/>
          <w:lang w:val="el-GR"/>
        </w:rPr>
        <w:t xml:space="preserve">ROA – </w:t>
      </w:r>
      <w:r w:rsidRPr="008275EC">
        <w:rPr>
          <w:rFonts w:eastAsia="Calibri"/>
          <w:szCs w:val="24"/>
          <w:lang w:val="el-GR"/>
        </w:rPr>
        <w:t>Alpha Bank</w:t>
      </w:r>
      <w:r>
        <w:rPr>
          <w:rFonts w:eastAsia="Calibri"/>
          <w:szCs w:val="24"/>
          <w:lang w:val="el-GR"/>
        </w:rPr>
        <w:t xml:space="preserve"> (</w:t>
      </w:r>
      <w:r w:rsidRPr="008275EC">
        <w:rPr>
          <w:rFonts w:eastAsia="Calibri"/>
          <w:szCs w:val="24"/>
          <w:lang w:val="el-GR"/>
        </w:rPr>
        <w:t xml:space="preserve">Πηγή: Το διάγραμμα δημιουργήθηκε στο </w:t>
      </w:r>
      <w:r w:rsidRPr="008275EC">
        <w:rPr>
          <w:rFonts w:eastAsia="Calibri"/>
          <w:szCs w:val="24"/>
          <w:lang w:val="en-GB"/>
        </w:rPr>
        <w:t>Microsoft</w:t>
      </w:r>
      <w:r w:rsidRPr="008275EC">
        <w:rPr>
          <w:rFonts w:eastAsia="Calibri"/>
          <w:szCs w:val="24"/>
          <w:lang w:val="el-GR"/>
        </w:rPr>
        <w:t xml:space="preserve"> </w:t>
      </w:r>
      <w:r w:rsidRPr="008275EC">
        <w:rPr>
          <w:rFonts w:eastAsia="Calibri"/>
          <w:szCs w:val="24"/>
          <w:lang w:val="en-GB"/>
        </w:rPr>
        <w:t>Office</w:t>
      </w:r>
      <w:r w:rsidRPr="008275EC">
        <w:rPr>
          <w:rFonts w:eastAsia="Calibri"/>
          <w:szCs w:val="24"/>
          <w:lang w:val="el-GR"/>
        </w:rPr>
        <w:t xml:space="preserve"> </w:t>
      </w:r>
      <w:r w:rsidRPr="008275EC">
        <w:rPr>
          <w:rFonts w:eastAsia="Calibri"/>
          <w:szCs w:val="24"/>
          <w:lang w:val="en-GB"/>
        </w:rPr>
        <w:t>excel</w:t>
      </w:r>
      <w:r w:rsidRPr="008275EC">
        <w:rPr>
          <w:rFonts w:eastAsia="Calibri"/>
          <w:szCs w:val="24"/>
          <w:lang w:val="el-GR"/>
        </w:rPr>
        <w:t xml:space="preserve"> από τον συγγραφέα</w:t>
      </w:r>
      <w:r>
        <w:rPr>
          <w:rFonts w:eastAsia="Calibri"/>
          <w:szCs w:val="24"/>
          <w:lang w:val="el-GR"/>
        </w:rPr>
        <w:t>)</w:t>
      </w:r>
      <w:r w:rsidRPr="008275EC">
        <w:rPr>
          <w:rFonts w:eastAsia="Calibri"/>
          <w:szCs w:val="24"/>
          <w:lang w:val="el-GR"/>
        </w:rPr>
        <w:t>.</w:t>
      </w:r>
    </w:p>
    <w:p w14:paraId="31F931F0" w14:textId="592DA29B" w:rsidR="00245119" w:rsidRDefault="00245119" w:rsidP="00245119">
      <w:pPr>
        <w:pBdr>
          <w:top w:val="nil"/>
          <w:left w:val="nil"/>
          <w:bottom w:val="nil"/>
          <w:right w:val="nil"/>
          <w:between w:val="nil"/>
          <w:bar w:val="nil"/>
        </w:pBdr>
        <w:spacing w:before="200" w:after="200"/>
        <w:ind w:firstLine="0"/>
        <w:rPr>
          <w:rFonts w:eastAsia="Calibri"/>
          <w:szCs w:val="24"/>
          <w:lang w:val="el-GR"/>
        </w:rPr>
      </w:pPr>
      <w:r w:rsidRPr="008275EC">
        <w:rPr>
          <w:rFonts w:eastAsia="Calibri"/>
          <w:b/>
          <w:bCs/>
          <w:noProof/>
          <w:szCs w:val="24"/>
          <w:u w:val="single"/>
          <w:lang w:val="el-GR" w:eastAsia="el-GR"/>
        </w:rPr>
        <w:drawing>
          <wp:anchor distT="0" distB="0" distL="114300" distR="114300" simplePos="0" relativeHeight="251683840" behindDoc="0" locked="0" layoutInCell="1" allowOverlap="1" wp14:anchorId="4A58ED89" wp14:editId="46C409B9">
            <wp:simplePos x="0" y="0"/>
            <wp:positionH relativeFrom="margin">
              <wp:align>center</wp:align>
            </wp:positionH>
            <wp:positionV relativeFrom="paragraph">
              <wp:posOffset>495034</wp:posOffset>
            </wp:positionV>
            <wp:extent cx="6810375" cy="2152650"/>
            <wp:effectExtent l="0" t="0" r="9525" b="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810375" cy="2152650"/>
                    </a:xfrm>
                    <a:prstGeom prst="roundRect">
                      <a:avLst>
                        <a:gd name="adj" fmla="val 8594"/>
                      </a:avLst>
                    </a:prstGeom>
                    <a:solidFill>
                      <a:srgbClr val="FFFFFF">
                        <a:shade val="85000"/>
                      </a:srgbClr>
                    </a:solidFill>
                    <a:ln>
                      <a:noFill/>
                    </a:ln>
                    <a:effectLst/>
                  </pic:spPr>
                </pic:pic>
              </a:graphicData>
            </a:graphic>
            <wp14:sizeRelH relativeFrom="margin">
              <wp14:pctWidth>0</wp14:pctWidth>
            </wp14:sizeRelH>
            <wp14:sizeRelV relativeFrom="margin">
              <wp14:pctHeight>0</wp14:pctHeight>
            </wp14:sizeRelV>
          </wp:anchor>
        </w:drawing>
      </w:r>
    </w:p>
    <w:p w14:paraId="762F3D46" w14:textId="3D004CDC" w:rsidR="008275EC" w:rsidRPr="008275EC" w:rsidRDefault="00245119" w:rsidP="00245119">
      <w:pPr>
        <w:pBdr>
          <w:top w:val="nil"/>
          <w:left w:val="nil"/>
          <w:bottom w:val="nil"/>
          <w:right w:val="nil"/>
          <w:between w:val="nil"/>
          <w:bar w:val="nil"/>
        </w:pBdr>
        <w:spacing w:before="200" w:after="200"/>
        <w:ind w:firstLine="0"/>
        <w:rPr>
          <w:rFonts w:eastAsia="Calibri"/>
          <w:b/>
          <w:bCs/>
          <w:szCs w:val="24"/>
          <w:u w:val="single"/>
          <w:lang w:val="el-GR"/>
        </w:rPr>
      </w:pPr>
      <w:r w:rsidRPr="00245119">
        <w:rPr>
          <w:rFonts w:eastAsia="Calibri"/>
          <w:b/>
          <w:bCs/>
          <w:szCs w:val="24"/>
          <w:lang w:val="el-GR"/>
        </w:rPr>
        <w:t>Σχήμα</w:t>
      </w:r>
      <w:r w:rsidR="008275EC" w:rsidRPr="008275EC">
        <w:rPr>
          <w:rFonts w:eastAsia="Calibri"/>
          <w:b/>
          <w:bCs/>
          <w:szCs w:val="24"/>
          <w:lang w:val="el-GR"/>
        </w:rPr>
        <w:t xml:space="preserve"> 14β</w:t>
      </w:r>
      <w:r w:rsidRPr="00245119">
        <w:rPr>
          <w:rFonts w:eastAsia="Calibri"/>
          <w:b/>
          <w:bCs/>
          <w:szCs w:val="24"/>
          <w:lang w:val="el-GR"/>
        </w:rPr>
        <w:t>.</w:t>
      </w:r>
      <w:r w:rsidR="008275EC" w:rsidRPr="008275EC">
        <w:rPr>
          <w:rFonts w:eastAsia="Calibri"/>
          <w:b/>
          <w:bCs/>
          <w:szCs w:val="24"/>
          <w:lang w:val="el-GR"/>
        </w:rPr>
        <w:t xml:space="preserve"> </w:t>
      </w:r>
      <w:r w:rsidRPr="008275EC">
        <w:rPr>
          <w:rFonts w:eastAsia="Calibri"/>
          <w:szCs w:val="24"/>
          <w:lang w:val="el-GR"/>
        </w:rPr>
        <w:t>Ποσοστια</w:t>
      </w:r>
      <w:r>
        <w:rPr>
          <w:rFonts w:eastAsia="Calibri"/>
          <w:szCs w:val="24"/>
          <w:lang w:val="el-GR"/>
        </w:rPr>
        <w:t>ί</w:t>
      </w:r>
      <w:r w:rsidRPr="008275EC">
        <w:rPr>
          <w:rFonts w:eastAsia="Calibri"/>
          <w:szCs w:val="24"/>
          <w:lang w:val="el-GR"/>
        </w:rPr>
        <w:t>ες Μεταβολ</w:t>
      </w:r>
      <w:r>
        <w:rPr>
          <w:rFonts w:eastAsia="Calibri"/>
          <w:szCs w:val="24"/>
          <w:lang w:val="el-GR"/>
        </w:rPr>
        <w:t>έ</w:t>
      </w:r>
      <w:r w:rsidRPr="008275EC">
        <w:rPr>
          <w:rFonts w:eastAsia="Calibri"/>
          <w:szCs w:val="24"/>
          <w:lang w:val="el-GR"/>
        </w:rPr>
        <w:t>ς Δε</w:t>
      </w:r>
      <w:r>
        <w:rPr>
          <w:rFonts w:eastAsia="Calibri"/>
          <w:szCs w:val="24"/>
          <w:lang w:val="el-GR"/>
        </w:rPr>
        <w:t>ί</w:t>
      </w:r>
      <w:r w:rsidRPr="008275EC">
        <w:rPr>
          <w:rFonts w:eastAsia="Calibri"/>
          <w:szCs w:val="24"/>
          <w:lang w:val="el-GR"/>
        </w:rPr>
        <w:t xml:space="preserve">κτη </w:t>
      </w:r>
      <w:r w:rsidR="008275EC" w:rsidRPr="008275EC">
        <w:rPr>
          <w:rFonts w:eastAsia="Calibri"/>
          <w:szCs w:val="24"/>
          <w:lang w:val="el-GR"/>
        </w:rPr>
        <w:t xml:space="preserve">ROA – </w:t>
      </w:r>
      <w:r w:rsidRPr="008275EC">
        <w:rPr>
          <w:rFonts w:eastAsia="Calibri"/>
          <w:szCs w:val="24"/>
          <w:lang w:val="el-GR"/>
        </w:rPr>
        <w:t>Alpha Bank</w:t>
      </w:r>
      <w:r>
        <w:rPr>
          <w:rFonts w:eastAsia="Calibri"/>
          <w:szCs w:val="24"/>
          <w:lang w:val="el-GR"/>
        </w:rPr>
        <w:t xml:space="preserve"> (</w:t>
      </w:r>
      <w:r w:rsidRPr="008275EC">
        <w:rPr>
          <w:rFonts w:eastAsia="Calibri"/>
          <w:szCs w:val="24"/>
          <w:lang w:val="el-GR"/>
        </w:rPr>
        <w:t xml:space="preserve">Πηγή: Το διάγραμμα δημιουργήθηκε στο </w:t>
      </w:r>
      <w:r w:rsidRPr="008275EC">
        <w:rPr>
          <w:rFonts w:eastAsia="Calibri"/>
          <w:szCs w:val="24"/>
          <w:lang w:val="en-GB"/>
        </w:rPr>
        <w:t>Microsoft</w:t>
      </w:r>
      <w:r w:rsidRPr="008275EC">
        <w:rPr>
          <w:rFonts w:eastAsia="Calibri"/>
          <w:szCs w:val="24"/>
          <w:lang w:val="el-GR"/>
        </w:rPr>
        <w:t xml:space="preserve"> </w:t>
      </w:r>
      <w:r w:rsidRPr="008275EC">
        <w:rPr>
          <w:rFonts w:eastAsia="Calibri"/>
          <w:szCs w:val="24"/>
          <w:lang w:val="en-GB"/>
        </w:rPr>
        <w:t>Office</w:t>
      </w:r>
      <w:r w:rsidRPr="008275EC">
        <w:rPr>
          <w:rFonts w:eastAsia="Calibri"/>
          <w:szCs w:val="24"/>
          <w:lang w:val="el-GR"/>
        </w:rPr>
        <w:t xml:space="preserve"> </w:t>
      </w:r>
      <w:r w:rsidRPr="008275EC">
        <w:rPr>
          <w:rFonts w:eastAsia="Calibri"/>
          <w:szCs w:val="24"/>
          <w:lang w:val="en-GB"/>
        </w:rPr>
        <w:t>excel</w:t>
      </w:r>
      <w:r w:rsidRPr="008275EC">
        <w:rPr>
          <w:rFonts w:eastAsia="Calibri"/>
          <w:szCs w:val="24"/>
          <w:lang w:val="el-GR"/>
        </w:rPr>
        <w:t xml:space="preserve"> από τον συγγραφέα</w:t>
      </w:r>
      <w:r>
        <w:rPr>
          <w:rFonts w:eastAsia="Calibri"/>
          <w:szCs w:val="24"/>
          <w:lang w:val="el-GR"/>
        </w:rPr>
        <w:t>)</w:t>
      </w:r>
      <w:r w:rsidRPr="008275EC">
        <w:rPr>
          <w:rFonts w:eastAsia="Calibri"/>
          <w:szCs w:val="24"/>
          <w:lang w:val="el-GR"/>
        </w:rPr>
        <w:t>.</w:t>
      </w:r>
    </w:p>
    <w:p w14:paraId="0D4EA18A" w14:textId="77777777" w:rsidR="008275EC" w:rsidRPr="008275EC" w:rsidRDefault="008275EC" w:rsidP="00245119">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lastRenderedPageBreak/>
        <w:t xml:space="preserve">Σχετικά με τον δείκτη ROE της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το 2020 ήταν στο 1,25% (αυξημένος κατά 9% περίπου σε σχέση με το 2019). Το 2005, ο δείκτης ήταν γύρω στο 16%, μειώθηκε στο 15% το 2007 και αυξήθηκε στο 20%, περίπου, το 2008. Από εκείνη τη χρονιά και ύστερα άρχισαν οι μειώσεις. Κατά τα έτη 2011 και 2012, εμφανίστηκαν ακραίες τιμές (-194% και 140%, αντίστοιχα). Το 2013, ο δείκτης εμφάνισε μια υψηλή απόδοση περίπου στο 35% (καλύτερη απόδοση στο υπό εξέταση δείγμα). Χειρότερη απόδοση ήταν το 2017 (0,22%), εξαιρώντας τα ακραία αποτελέσματα. Οι τιμές του δείκτη </w:t>
      </w:r>
      <w:r w:rsidRPr="008275EC">
        <w:rPr>
          <w:rFonts w:eastAsia="Calibri"/>
          <w:szCs w:val="24"/>
        </w:rPr>
        <w:t>ROE</w:t>
      </w:r>
      <w:r w:rsidRPr="008275EC">
        <w:rPr>
          <w:rFonts w:eastAsia="Calibri"/>
          <w:szCs w:val="24"/>
          <w:lang w:val="el-GR"/>
        </w:rPr>
        <w:t xml:space="preserve"> εκφράζουν ότι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-πριν το ξέσπασμα της οικονομικής κρίσης χρησιμοποιούσε αποτελεσματικά τα ίδια κεφάλαια των μετόχων της για τη δημιουργία εσόδων και κερδών. Μετά το πέρας της οικονομικής κρίσης, η τράπεζα δεν είχε την ίδια δυνατότητα.</w:t>
      </w:r>
    </w:p>
    <w:p w14:paraId="1C97EF65" w14:textId="124EB8A6" w:rsidR="008275EC" w:rsidRPr="008275EC" w:rsidRDefault="00245119" w:rsidP="008275EC">
      <w:pPr>
        <w:pBdr>
          <w:top w:val="nil"/>
          <w:left w:val="nil"/>
          <w:bottom w:val="nil"/>
          <w:right w:val="nil"/>
          <w:between w:val="nil"/>
          <w:bar w:val="nil"/>
        </w:pBdr>
        <w:spacing w:before="200" w:after="200"/>
        <w:ind w:firstLine="0"/>
        <w:rPr>
          <w:rFonts w:eastAsia="Calibri"/>
          <w:szCs w:val="24"/>
          <w:lang w:val="el-GR"/>
        </w:rPr>
      </w:pPr>
      <w:r w:rsidRPr="008275EC">
        <w:rPr>
          <w:rFonts w:eastAsia="Calibri"/>
          <w:noProof/>
          <w:szCs w:val="24"/>
          <w:lang w:val="el-GR" w:eastAsia="el-GR"/>
        </w:rPr>
        <w:drawing>
          <wp:anchor distT="0" distB="0" distL="114300" distR="114300" simplePos="0" relativeHeight="251684864" behindDoc="0" locked="0" layoutInCell="1" allowOverlap="1" wp14:anchorId="449802CB" wp14:editId="241688B2">
            <wp:simplePos x="0" y="0"/>
            <wp:positionH relativeFrom="margin">
              <wp:posOffset>-531184</wp:posOffset>
            </wp:positionH>
            <wp:positionV relativeFrom="paragraph">
              <wp:posOffset>342059</wp:posOffset>
            </wp:positionV>
            <wp:extent cx="6848475" cy="2028825"/>
            <wp:effectExtent l="0" t="0" r="9525" b="9525"/>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848475" cy="2028825"/>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p>
    <w:p w14:paraId="6945D44A" w14:textId="776CC65E" w:rsidR="00245119" w:rsidRDefault="00245119" w:rsidP="00245119">
      <w:pPr>
        <w:pBdr>
          <w:top w:val="nil"/>
          <w:left w:val="nil"/>
          <w:bottom w:val="nil"/>
          <w:right w:val="nil"/>
          <w:between w:val="nil"/>
          <w:bar w:val="nil"/>
        </w:pBdr>
        <w:spacing w:before="200" w:after="200"/>
        <w:ind w:firstLine="0"/>
        <w:rPr>
          <w:rFonts w:eastAsia="Calibri"/>
          <w:szCs w:val="24"/>
          <w:lang w:val="el-GR"/>
        </w:rPr>
      </w:pPr>
      <w:r w:rsidRPr="00245119">
        <w:rPr>
          <w:rFonts w:eastAsia="Calibri"/>
          <w:b/>
          <w:bCs/>
          <w:szCs w:val="24"/>
          <w:lang w:val="el-GR"/>
        </w:rPr>
        <w:t>Σχήμα</w:t>
      </w:r>
      <w:r w:rsidR="008275EC" w:rsidRPr="008275EC">
        <w:rPr>
          <w:rFonts w:eastAsia="Calibri"/>
          <w:b/>
          <w:bCs/>
          <w:szCs w:val="24"/>
          <w:lang w:val="el-GR"/>
        </w:rPr>
        <w:t xml:space="preserve"> 15</w:t>
      </w:r>
      <w:r w:rsidR="008275EC" w:rsidRPr="00631006">
        <w:rPr>
          <w:rFonts w:eastAsia="Calibri"/>
          <w:b/>
          <w:bCs/>
          <w:szCs w:val="24"/>
          <w:lang w:val="el-GR"/>
        </w:rPr>
        <w:t>α</w:t>
      </w:r>
      <w:r w:rsidRPr="00245119">
        <w:rPr>
          <w:rFonts w:eastAsia="Calibri"/>
          <w:b/>
          <w:bCs/>
          <w:szCs w:val="24"/>
          <w:lang w:val="el-GR"/>
        </w:rPr>
        <w:t>.</w:t>
      </w:r>
      <w:r w:rsidR="008275EC" w:rsidRPr="008275EC">
        <w:rPr>
          <w:rFonts w:eastAsia="Calibri"/>
          <w:b/>
          <w:bCs/>
          <w:szCs w:val="24"/>
          <w:lang w:val="el-GR"/>
        </w:rPr>
        <w:t xml:space="preserve"> </w:t>
      </w:r>
      <w:r w:rsidR="008275EC" w:rsidRPr="008275EC">
        <w:rPr>
          <w:rFonts w:eastAsia="Calibri"/>
          <w:szCs w:val="24"/>
          <w:lang w:val="el-GR"/>
        </w:rPr>
        <w:t>Δ</w:t>
      </w:r>
      <w:r>
        <w:rPr>
          <w:rFonts w:eastAsia="Calibri"/>
          <w:szCs w:val="24"/>
          <w:lang w:val="el-GR"/>
        </w:rPr>
        <w:t xml:space="preserve">είκτης </w:t>
      </w:r>
      <w:r w:rsidR="008275EC" w:rsidRPr="008275EC">
        <w:rPr>
          <w:rFonts w:eastAsia="Calibri"/>
          <w:szCs w:val="24"/>
          <w:lang w:val="el-GR"/>
        </w:rPr>
        <w:t xml:space="preserve">ROE – </w:t>
      </w:r>
      <w:r w:rsidRPr="008275EC">
        <w:rPr>
          <w:rFonts w:eastAsia="Calibri"/>
          <w:szCs w:val="24"/>
          <w:lang w:val="el-GR"/>
        </w:rPr>
        <w:t>Alpha Bank</w:t>
      </w:r>
      <w:r>
        <w:rPr>
          <w:rFonts w:eastAsia="Calibri"/>
          <w:szCs w:val="24"/>
          <w:lang w:val="el-GR"/>
        </w:rPr>
        <w:t xml:space="preserve"> (</w:t>
      </w:r>
      <w:r w:rsidRPr="008275EC">
        <w:rPr>
          <w:rFonts w:eastAsia="Calibri"/>
          <w:szCs w:val="24"/>
          <w:lang w:val="el-GR"/>
        </w:rPr>
        <w:t xml:space="preserve">Πηγή: Το διάγραμμα δημιουργήθηκε στο </w:t>
      </w:r>
      <w:r w:rsidRPr="008275EC">
        <w:rPr>
          <w:rFonts w:eastAsia="Calibri"/>
          <w:szCs w:val="24"/>
          <w:lang w:val="en-GB"/>
        </w:rPr>
        <w:t>Microsoft</w:t>
      </w:r>
      <w:r w:rsidRPr="008275EC">
        <w:rPr>
          <w:rFonts w:eastAsia="Calibri"/>
          <w:szCs w:val="24"/>
          <w:lang w:val="el-GR"/>
        </w:rPr>
        <w:t xml:space="preserve"> </w:t>
      </w:r>
      <w:r w:rsidRPr="008275EC">
        <w:rPr>
          <w:rFonts w:eastAsia="Calibri"/>
          <w:szCs w:val="24"/>
          <w:lang w:val="en-GB"/>
        </w:rPr>
        <w:t>Office</w:t>
      </w:r>
      <w:r w:rsidRPr="008275EC">
        <w:rPr>
          <w:rFonts w:eastAsia="Calibri"/>
          <w:szCs w:val="24"/>
          <w:lang w:val="el-GR"/>
        </w:rPr>
        <w:t xml:space="preserve"> </w:t>
      </w:r>
      <w:r w:rsidRPr="008275EC">
        <w:rPr>
          <w:rFonts w:eastAsia="Calibri"/>
          <w:szCs w:val="24"/>
          <w:lang w:val="en-GB"/>
        </w:rPr>
        <w:t>excel</w:t>
      </w:r>
      <w:r w:rsidRPr="008275EC">
        <w:rPr>
          <w:rFonts w:eastAsia="Calibri"/>
          <w:szCs w:val="24"/>
          <w:lang w:val="el-GR"/>
        </w:rPr>
        <w:t xml:space="preserve"> από τον συγγραφέα</w:t>
      </w:r>
      <w:r>
        <w:rPr>
          <w:rFonts w:eastAsia="Calibri"/>
          <w:szCs w:val="24"/>
          <w:lang w:val="el-GR"/>
        </w:rPr>
        <w:t>)</w:t>
      </w:r>
      <w:r w:rsidRPr="008275EC">
        <w:rPr>
          <w:rFonts w:eastAsia="Calibri"/>
          <w:szCs w:val="24"/>
          <w:lang w:val="el-GR"/>
        </w:rPr>
        <w:t>.</w:t>
      </w:r>
    </w:p>
    <w:p w14:paraId="2302F24C" w14:textId="77777777" w:rsidR="00245119" w:rsidRDefault="00245119" w:rsidP="00245119">
      <w:pPr>
        <w:pBdr>
          <w:top w:val="nil"/>
          <w:left w:val="nil"/>
          <w:bottom w:val="nil"/>
          <w:right w:val="nil"/>
          <w:between w:val="nil"/>
          <w:bar w:val="nil"/>
        </w:pBdr>
        <w:spacing w:before="200" w:after="200"/>
        <w:ind w:firstLine="0"/>
        <w:rPr>
          <w:rFonts w:eastAsia="Calibri"/>
          <w:szCs w:val="24"/>
          <w:lang w:val="el-GR"/>
        </w:rPr>
      </w:pPr>
    </w:p>
    <w:p w14:paraId="20F22679" w14:textId="214A562A" w:rsidR="008275EC" w:rsidRDefault="008275EC" w:rsidP="00245119">
      <w:pPr>
        <w:pBdr>
          <w:top w:val="nil"/>
          <w:left w:val="nil"/>
          <w:bottom w:val="nil"/>
          <w:right w:val="nil"/>
          <w:between w:val="nil"/>
          <w:bar w:val="nil"/>
        </w:pBdr>
        <w:spacing w:before="200" w:after="200"/>
        <w:ind w:firstLine="0"/>
        <w:rPr>
          <w:rFonts w:eastAsia="Calibri"/>
          <w:szCs w:val="24"/>
          <w:lang w:val="el-GR"/>
        </w:rPr>
      </w:pPr>
      <w:r w:rsidRPr="008275EC">
        <w:rPr>
          <w:rFonts w:eastAsia="Calibri"/>
          <w:b/>
          <w:bCs/>
          <w:noProof/>
          <w:szCs w:val="24"/>
          <w:lang w:val="el-GR" w:eastAsia="el-GR"/>
        </w:rPr>
        <w:lastRenderedPageBreak/>
        <w:drawing>
          <wp:anchor distT="0" distB="0" distL="114300" distR="114300" simplePos="0" relativeHeight="251685888" behindDoc="0" locked="0" layoutInCell="1" allowOverlap="1" wp14:anchorId="77324314" wp14:editId="10E68AF0">
            <wp:simplePos x="0" y="0"/>
            <wp:positionH relativeFrom="column">
              <wp:posOffset>-399607</wp:posOffset>
            </wp:positionH>
            <wp:positionV relativeFrom="paragraph">
              <wp:posOffset>1699</wp:posOffset>
            </wp:positionV>
            <wp:extent cx="6762750" cy="2057400"/>
            <wp:effectExtent l="0" t="0" r="0" b="0"/>
            <wp:wrapTopAndBottom/>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762750" cy="2057400"/>
                    </a:xfrm>
                    <a:prstGeom prst="roundRect">
                      <a:avLst>
                        <a:gd name="adj" fmla="val 8594"/>
                      </a:avLst>
                    </a:prstGeom>
                    <a:solidFill>
                      <a:srgbClr val="FFFFFF">
                        <a:shade val="85000"/>
                      </a:srgbClr>
                    </a:solidFill>
                    <a:ln>
                      <a:noFill/>
                    </a:ln>
                    <a:effectLst/>
                  </pic:spPr>
                </pic:pic>
              </a:graphicData>
            </a:graphic>
            <wp14:sizeRelH relativeFrom="page">
              <wp14:pctWidth>0</wp14:pctWidth>
            </wp14:sizeRelH>
            <wp14:sizeRelV relativeFrom="page">
              <wp14:pctHeight>0</wp14:pctHeight>
            </wp14:sizeRelV>
          </wp:anchor>
        </w:drawing>
      </w:r>
      <w:r w:rsidR="00245119" w:rsidRPr="00245119">
        <w:rPr>
          <w:rFonts w:eastAsia="Calibri"/>
          <w:b/>
          <w:bCs/>
          <w:szCs w:val="24"/>
          <w:lang w:val="el-GR"/>
        </w:rPr>
        <w:t>Σχήμα</w:t>
      </w:r>
      <w:r w:rsidRPr="008275EC">
        <w:rPr>
          <w:rFonts w:eastAsia="Calibri"/>
          <w:b/>
          <w:bCs/>
          <w:szCs w:val="24"/>
          <w:lang w:val="el-GR"/>
        </w:rPr>
        <w:t xml:space="preserve"> 15β</w:t>
      </w:r>
      <w:r w:rsidR="00245119" w:rsidRPr="00245119">
        <w:rPr>
          <w:rFonts w:eastAsia="Calibri"/>
          <w:b/>
          <w:bCs/>
          <w:szCs w:val="24"/>
          <w:lang w:val="el-GR"/>
        </w:rPr>
        <w:t xml:space="preserve">. </w:t>
      </w:r>
      <w:r w:rsidR="00245119" w:rsidRPr="008275EC">
        <w:rPr>
          <w:rFonts w:eastAsia="Calibri"/>
          <w:szCs w:val="24"/>
          <w:lang w:val="el-GR"/>
        </w:rPr>
        <w:t>Ποσοστια</w:t>
      </w:r>
      <w:r w:rsidR="00245119">
        <w:rPr>
          <w:rFonts w:eastAsia="Calibri"/>
          <w:szCs w:val="24"/>
          <w:lang w:val="el-GR"/>
        </w:rPr>
        <w:t>ί</w:t>
      </w:r>
      <w:r w:rsidR="00245119" w:rsidRPr="008275EC">
        <w:rPr>
          <w:rFonts w:eastAsia="Calibri"/>
          <w:szCs w:val="24"/>
          <w:lang w:val="el-GR"/>
        </w:rPr>
        <w:t>ες Μεταβολ</w:t>
      </w:r>
      <w:r w:rsidR="00245119">
        <w:rPr>
          <w:rFonts w:eastAsia="Calibri"/>
          <w:szCs w:val="24"/>
          <w:lang w:val="el-GR"/>
        </w:rPr>
        <w:t>έ</w:t>
      </w:r>
      <w:r w:rsidR="00245119" w:rsidRPr="008275EC">
        <w:rPr>
          <w:rFonts w:eastAsia="Calibri"/>
          <w:szCs w:val="24"/>
          <w:lang w:val="el-GR"/>
        </w:rPr>
        <w:t>ς Δε</w:t>
      </w:r>
      <w:r w:rsidR="00245119">
        <w:rPr>
          <w:rFonts w:eastAsia="Calibri"/>
          <w:szCs w:val="24"/>
          <w:lang w:val="el-GR"/>
        </w:rPr>
        <w:t>ί</w:t>
      </w:r>
      <w:r w:rsidR="00245119" w:rsidRPr="008275EC">
        <w:rPr>
          <w:rFonts w:eastAsia="Calibri"/>
          <w:szCs w:val="24"/>
          <w:lang w:val="el-GR"/>
        </w:rPr>
        <w:t xml:space="preserve">κτη </w:t>
      </w:r>
      <w:r w:rsidRPr="008275EC">
        <w:rPr>
          <w:rFonts w:eastAsia="Calibri"/>
          <w:szCs w:val="24"/>
          <w:lang w:val="el-GR"/>
        </w:rPr>
        <w:t xml:space="preserve">ROE – </w:t>
      </w:r>
      <w:r w:rsidR="00245119" w:rsidRPr="008275EC">
        <w:rPr>
          <w:rFonts w:eastAsia="Calibri"/>
          <w:szCs w:val="24"/>
          <w:lang w:val="el-GR"/>
        </w:rPr>
        <w:t>Alpha Bank</w:t>
      </w:r>
      <w:r w:rsidR="00245119">
        <w:rPr>
          <w:rFonts w:eastAsia="Calibri"/>
          <w:szCs w:val="24"/>
          <w:lang w:val="el-GR"/>
        </w:rPr>
        <w:t xml:space="preserve"> (</w:t>
      </w:r>
      <w:r w:rsidR="00245119" w:rsidRPr="008275EC">
        <w:rPr>
          <w:rFonts w:eastAsia="Calibri"/>
          <w:szCs w:val="24"/>
          <w:lang w:val="el-GR"/>
        </w:rPr>
        <w:t xml:space="preserve">Πηγή: Το διάγραμμα δημιουργήθηκε στο </w:t>
      </w:r>
      <w:r w:rsidR="00245119" w:rsidRPr="008275EC">
        <w:rPr>
          <w:rFonts w:eastAsia="Calibri"/>
          <w:szCs w:val="24"/>
          <w:lang w:val="en-GB"/>
        </w:rPr>
        <w:t>Microsoft</w:t>
      </w:r>
      <w:r w:rsidR="00245119" w:rsidRPr="008275EC">
        <w:rPr>
          <w:rFonts w:eastAsia="Calibri"/>
          <w:szCs w:val="24"/>
          <w:lang w:val="el-GR"/>
        </w:rPr>
        <w:t xml:space="preserve"> </w:t>
      </w:r>
      <w:r w:rsidR="00245119" w:rsidRPr="008275EC">
        <w:rPr>
          <w:rFonts w:eastAsia="Calibri"/>
          <w:szCs w:val="24"/>
          <w:lang w:val="en-GB"/>
        </w:rPr>
        <w:t>Office</w:t>
      </w:r>
      <w:r w:rsidR="00245119" w:rsidRPr="008275EC">
        <w:rPr>
          <w:rFonts w:eastAsia="Calibri"/>
          <w:szCs w:val="24"/>
          <w:lang w:val="el-GR"/>
        </w:rPr>
        <w:t xml:space="preserve"> </w:t>
      </w:r>
      <w:r w:rsidR="00245119" w:rsidRPr="008275EC">
        <w:rPr>
          <w:rFonts w:eastAsia="Calibri"/>
          <w:szCs w:val="24"/>
          <w:lang w:val="en-GB"/>
        </w:rPr>
        <w:t>excel</w:t>
      </w:r>
      <w:r w:rsidR="00245119" w:rsidRPr="008275EC">
        <w:rPr>
          <w:rFonts w:eastAsia="Calibri"/>
          <w:szCs w:val="24"/>
          <w:lang w:val="el-GR"/>
        </w:rPr>
        <w:t xml:space="preserve"> από τον συγγραφέα</w:t>
      </w:r>
      <w:r w:rsidR="00245119">
        <w:rPr>
          <w:rFonts w:eastAsia="Calibri"/>
          <w:szCs w:val="24"/>
          <w:lang w:val="el-GR"/>
        </w:rPr>
        <w:t>)</w:t>
      </w:r>
      <w:r w:rsidR="00245119" w:rsidRPr="008275EC">
        <w:rPr>
          <w:rFonts w:eastAsia="Calibri"/>
          <w:szCs w:val="24"/>
          <w:lang w:val="el-GR"/>
        </w:rPr>
        <w:t>.</w:t>
      </w:r>
    </w:p>
    <w:p w14:paraId="3BD84AE5" w14:textId="77777777" w:rsidR="00245119" w:rsidRPr="008275EC" w:rsidRDefault="00245119" w:rsidP="00245119">
      <w:pPr>
        <w:pBdr>
          <w:top w:val="nil"/>
          <w:left w:val="nil"/>
          <w:bottom w:val="nil"/>
          <w:right w:val="nil"/>
          <w:between w:val="nil"/>
          <w:bar w:val="nil"/>
        </w:pBdr>
        <w:spacing w:before="200" w:after="200"/>
        <w:ind w:firstLine="0"/>
        <w:rPr>
          <w:rFonts w:eastAsia="Calibri"/>
          <w:b/>
          <w:bCs/>
          <w:szCs w:val="24"/>
          <w:u w:val="single"/>
          <w:lang w:val="el-GR"/>
        </w:rPr>
      </w:pPr>
    </w:p>
    <w:p w14:paraId="6D908958" w14:textId="77777777" w:rsidR="00245119" w:rsidRDefault="008275EC" w:rsidP="00245119">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Ολοκληρώνοντας, κατά τα χρόνια της εξέτασης του δείγματος (2005 – 2020), το σύνολο του ενεργητικού της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αυξήθηκε από 44.007.046.000 € (το 2005) σε 70.056.707.000 € (το 2020), αύξηση περίπου 60%. Οι συνολικές υποχρεώσεις της τράπεζας αυξήθηκαν από 40.884.362.000 € (το 2005) σε 61.723.514.000 € (το 2020), αύξηση περίπου 50%. Οι συνολικές υποχρεώσεις αυξήθηκαν λιγότερο, σε σχέση με το σύνολο των περιουσιακών στοιχείων. Οι βραχυχρόνιες υποχρεώσεις αυξήθηκαν λίγο περισσότερο από το σύνολο των υποχρεώσεων, από 39.234.467.000 € το 2005, σε 59.998.988.000 € το 2020 (αύξηση 53%). Σημαντική αύξηση παρουσίασε το σύνολο των ιδίων κεφαλαίων, το οποίο αυξήθηκε κατά περίπου 170% (από 3.122.684.000 € το 2005, σε 8.333.193.000 € το 2020).</w:t>
      </w:r>
    </w:p>
    <w:p w14:paraId="07CEE2FB" w14:textId="4D2A5F22" w:rsidR="008275EC" w:rsidRPr="008275EC" w:rsidRDefault="008275EC" w:rsidP="00245119">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Η τιμή της μετοχής της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πλέον είναι περίπου στα 2 €, αυξημένη κατά 75%, σε σχέση με το 2019. Παρόλο αυτά, τα τελευταία έτη έχει υποστεί μια σημαντική μείωση. Το 2005, η τιμή της μετοχής της τράπεζας ανέρχονταν περίπου στα 250 €, και συνεχώς αυξανόταν έως το 2008 (410 € περίπου). Στη συνέχεια άρχισαν οι σταδιακές μειώσεις, χωρίς ποτέ να φθάσει στα επίπεδα πριν το ξέσπασμα της οικονομικής κρίσης.</w:t>
      </w:r>
    </w:p>
    <w:p w14:paraId="26E67740"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72799156"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3CC98E32"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0DB42CFB" w14:textId="309255DF" w:rsidR="008275EC" w:rsidRPr="008275EC" w:rsidRDefault="00245119" w:rsidP="008275EC">
      <w:pPr>
        <w:pBdr>
          <w:top w:val="nil"/>
          <w:left w:val="nil"/>
          <w:bottom w:val="nil"/>
          <w:right w:val="nil"/>
          <w:between w:val="nil"/>
          <w:bar w:val="nil"/>
        </w:pBdr>
        <w:spacing w:before="200" w:after="200"/>
        <w:ind w:firstLine="0"/>
        <w:rPr>
          <w:rFonts w:eastAsia="Calibri"/>
          <w:szCs w:val="24"/>
          <w:lang w:val="el-GR"/>
        </w:rPr>
      </w:pPr>
      <w:r w:rsidRPr="008275EC">
        <w:rPr>
          <w:rFonts w:eastAsia="Calibri"/>
          <w:noProof/>
          <w:szCs w:val="24"/>
          <w:lang w:val="el-GR" w:eastAsia="el-GR"/>
        </w:rPr>
        <w:lastRenderedPageBreak/>
        <w:drawing>
          <wp:anchor distT="0" distB="0" distL="114300" distR="114300" simplePos="0" relativeHeight="251686912" behindDoc="0" locked="0" layoutInCell="1" allowOverlap="1" wp14:anchorId="7C042A60" wp14:editId="4C0DC86A">
            <wp:simplePos x="0" y="0"/>
            <wp:positionH relativeFrom="margin">
              <wp:align>center</wp:align>
            </wp:positionH>
            <wp:positionV relativeFrom="paragraph">
              <wp:posOffset>19655</wp:posOffset>
            </wp:positionV>
            <wp:extent cx="6838950" cy="2028825"/>
            <wp:effectExtent l="19050" t="19050" r="19050" b="28575"/>
            <wp:wrapTopAndBottom/>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838950" cy="2028825"/>
                    </a:xfrm>
                    <a:prstGeom prst="roundRect">
                      <a:avLst>
                        <a:gd name="adj" fmla="val 8594"/>
                      </a:avLst>
                    </a:prstGeom>
                    <a:solidFill>
                      <a:srgbClr val="FFFFFF">
                        <a:shade val="85000"/>
                      </a:srgbClr>
                    </a:solidFill>
                    <a:ln>
                      <a:solidFill>
                        <a:srgbClr val="000000"/>
                      </a:solidFill>
                    </a:ln>
                    <a:effectLst/>
                  </pic:spPr>
                </pic:pic>
              </a:graphicData>
            </a:graphic>
            <wp14:sizeRelH relativeFrom="page">
              <wp14:pctWidth>0</wp14:pctWidth>
            </wp14:sizeRelH>
            <wp14:sizeRelV relativeFrom="page">
              <wp14:pctHeight>0</wp14:pctHeight>
            </wp14:sizeRelV>
          </wp:anchor>
        </w:drawing>
      </w:r>
      <w:r>
        <w:rPr>
          <w:rFonts w:eastAsia="Calibri"/>
          <w:b/>
          <w:bCs/>
          <w:szCs w:val="24"/>
          <w:lang w:val="el-GR"/>
        </w:rPr>
        <w:t>Σχήμα</w:t>
      </w:r>
      <w:r w:rsidR="008275EC" w:rsidRPr="008275EC">
        <w:rPr>
          <w:rFonts w:eastAsia="Calibri"/>
          <w:b/>
          <w:bCs/>
          <w:szCs w:val="24"/>
          <w:lang w:val="el-GR"/>
        </w:rPr>
        <w:t xml:space="preserve"> 16</w:t>
      </w:r>
      <w:r>
        <w:rPr>
          <w:rFonts w:eastAsia="Calibri"/>
          <w:b/>
          <w:bCs/>
          <w:szCs w:val="24"/>
          <w:lang w:val="el-GR"/>
        </w:rPr>
        <w:t>.</w:t>
      </w:r>
      <w:r w:rsidR="008275EC" w:rsidRPr="008275EC">
        <w:rPr>
          <w:rFonts w:eastAsia="Calibri"/>
          <w:b/>
          <w:bCs/>
          <w:szCs w:val="24"/>
          <w:lang w:val="el-GR"/>
        </w:rPr>
        <w:t xml:space="preserve"> </w:t>
      </w:r>
      <w:r w:rsidRPr="008275EC">
        <w:rPr>
          <w:rFonts w:eastAsia="Calibri"/>
          <w:szCs w:val="24"/>
          <w:lang w:val="el-GR"/>
        </w:rPr>
        <w:t>Τιμ</w:t>
      </w:r>
      <w:r>
        <w:rPr>
          <w:rFonts w:eastAsia="Calibri"/>
          <w:szCs w:val="24"/>
          <w:lang w:val="el-GR"/>
        </w:rPr>
        <w:t>ή</w:t>
      </w:r>
      <w:r w:rsidRPr="008275EC">
        <w:rPr>
          <w:rFonts w:eastAsia="Calibri"/>
          <w:szCs w:val="24"/>
          <w:lang w:val="el-GR"/>
        </w:rPr>
        <w:t xml:space="preserve"> Μετοχ</w:t>
      </w:r>
      <w:r>
        <w:rPr>
          <w:rFonts w:eastAsia="Calibri"/>
          <w:szCs w:val="24"/>
          <w:lang w:val="el-GR"/>
        </w:rPr>
        <w:t>ή</w:t>
      </w:r>
      <w:r w:rsidRPr="008275EC">
        <w:rPr>
          <w:rFonts w:eastAsia="Calibri"/>
          <w:szCs w:val="24"/>
          <w:lang w:val="el-GR"/>
        </w:rPr>
        <w:t xml:space="preserve">ς (2005 </w:t>
      </w:r>
      <w:r>
        <w:rPr>
          <w:rFonts w:eastAsia="Calibri"/>
          <w:szCs w:val="24"/>
          <w:lang w:val="el-GR"/>
        </w:rPr>
        <w:t>έως</w:t>
      </w:r>
      <w:r w:rsidRPr="008275EC">
        <w:rPr>
          <w:rFonts w:eastAsia="Calibri"/>
          <w:szCs w:val="24"/>
          <w:lang w:val="el-GR"/>
        </w:rPr>
        <w:t xml:space="preserve"> 2020) – Alpha Bank</w:t>
      </w:r>
      <w:r>
        <w:rPr>
          <w:rFonts w:eastAsia="Calibri"/>
          <w:szCs w:val="24"/>
          <w:lang w:val="el-GR"/>
        </w:rPr>
        <w:t xml:space="preserve"> [</w:t>
      </w:r>
      <w:r w:rsidR="008275EC" w:rsidRPr="008275EC">
        <w:rPr>
          <w:rFonts w:eastAsia="Calibri"/>
          <w:szCs w:val="24"/>
          <w:lang w:val="el-GR"/>
        </w:rPr>
        <w:t>Πηγή: (capital.gr, 2021)</w:t>
      </w:r>
      <w:r>
        <w:rPr>
          <w:rFonts w:eastAsia="Calibri"/>
          <w:szCs w:val="24"/>
          <w:lang w:val="el-GR"/>
        </w:rPr>
        <w:t>].</w:t>
      </w:r>
    </w:p>
    <w:p w14:paraId="542E46AA"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0E59CB6A" w14:textId="77777777" w:rsidR="008275EC" w:rsidRPr="008275EC" w:rsidRDefault="008275EC" w:rsidP="008275EC">
      <w:pPr>
        <w:pBdr>
          <w:top w:val="nil"/>
          <w:left w:val="nil"/>
          <w:bottom w:val="nil"/>
          <w:right w:val="nil"/>
          <w:between w:val="nil"/>
          <w:bar w:val="nil"/>
        </w:pBdr>
        <w:spacing w:before="200" w:after="200"/>
        <w:ind w:firstLine="0"/>
        <w:rPr>
          <w:rFonts w:eastAsia="Calibri"/>
          <w:b/>
          <w:bCs/>
          <w:szCs w:val="24"/>
          <w:u w:val="single"/>
          <w:lang w:val="el-GR"/>
        </w:rPr>
      </w:pPr>
    </w:p>
    <w:p w14:paraId="25DD6B50" w14:textId="6EDC97D3" w:rsidR="008275EC" w:rsidRPr="008275EC" w:rsidRDefault="00245119" w:rsidP="00245119">
      <w:pPr>
        <w:pBdr>
          <w:top w:val="nil"/>
          <w:left w:val="nil"/>
          <w:bottom w:val="nil"/>
          <w:right w:val="nil"/>
          <w:between w:val="nil"/>
          <w:bar w:val="nil"/>
        </w:pBdr>
        <w:spacing w:before="200" w:after="200"/>
        <w:ind w:firstLine="0"/>
        <w:jc w:val="center"/>
        <w:rPr>
          <w:rFonts w:eastAsia="Calibri"/>
          <w:b/>
          <w:bCs/>
          <w:szCs w:val="24"/>
          <w:lang w:val="el-GR"/>
        </w:rPr>
      </w:pPr>
      <w:r w:rsidRPr="00245119">
        <w:rPr>
          <w:rFonts w:eastAsia="Calibri"/>
          <w:b/>
          <w:bCs/>
          <w:szCs w:val="24"/>
          <w:lang w:val="el-GR"/>
        </w:rPr>
        <w:t>4</w:t>
      </w:r>
      <w:r w:rsidR="008275EC" w:rsidRPr="008275EC">
        <w:rPr>
          <w:rFonts w:eastAsia="Calibri"/>
          <w:b/>
          <w:bCs/>
          <w:szCs w:val="24"/>
          <w:lang w:val="el-GR"/>
        </w:rPr>
        <w:t>.2. ΑΝΑΛΥΣΕΙΣ ΠΑΛΙΝΔΡΟΜΗΣΗΣ</w:t>
      </w:r>
    </w:p>
    <w:p w14:paraId="3A6AB2AE" w14:textId="77777777" w:rsidR="008275EC" w:rsidRPr="008275EC" w:rsidRDefault="008275EC" w:rsidP="00245119">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Στην εν λόγω υποενότητα, τα αποτελέσματα των τριών αναλύσεων παλινδρόμησης θα παρουσιαστούν. Και στις τρεις αναλύσεις το επίπεδο σημαντικότητας ανέρχεται σε 95%.</w:t>
      </w:r>
    </w:p>
    <w:p w14:paraId="2A559627" w14:textId="77777777" w:rsidR="008275EC" w:rsidRPr="008275EC" w:rsidRDefault="008275EC" w:rsidP="00245119">
      <w:pPr>
        <w:pBdr>
          <w:top w:val="nil"/>
          <w:left w:val="nil"/>
          <w:bottom w:val="nil"/>
          <w:right w:val="nil"/>
          <w:between w:val="nil"/>
          <w:bar w:val="nil"/>
        </w:pBdr>
        <w:spacing w:before="200" w:after="200"/>
        <w:ind w:firstLine="0"/>
        <w:jc w:val="center"/>
        <w:rPr>
          <w:rFonts w:eastAsia="Calibri"/>
          <w:szCs w:val="24"/>
          <w:lang w:val="el-GR"/>
        </w:rPr>
      </w:pPr>
    </w:p>
    <w:p w14:paraId="306E20F3" w14:textId="2D73BC3E" w:rsidR="008275EC" w:rsidRPr="008275EC" w:rsidRDefault="00245119" w:rsidP="00245119">
      <w:pPr>
        <w:pBdr>
          <w:top w:val="nil"/>
          <w:left w:val="nil"/>
          <w:bottom w:val="nil"/>
          <w:right w:val="nil"/>
          <w:between w:val="nil"/>
          <w:bar w:val="nil"/>
        </w:pBdr>
        <w:spacing w:before="200" w:after="200"/>
        <w:ind w:firstLine="0"/>
        <w:jc w:val="center"/>
        <w:rPr>
          <w:rFonts w:eastAsia="Calibri"/>
          <w:szCs w:val="24"/>
          <w:lang w:val="el-GR"/>
        </w:rPr>
      </w:pPr>
      <w:r w:rsidRPr="00245119">
        <w:rPr>
          <w:rFonts w:eastAsia="Calibri"/>
          <w:szCs w:val="24"/>
          <w:lang w:val="el-GR"/>
        </w:rPr>
        <w:t>4</w:t>
      </w:r>
      <w:r w:rsidR="008275EC" w:rsidRPr="008275EC">
        <w:rPr>
          <w:rFonts w:eastAsia="Calibri"/>
          <w:szCs w:val="24"/>
          <w:lang w:val="el-GR"/>
        </w:rPr>
        <w:t>.2.1. ΠΡΩΤΗ ΠΑΛΙΝΔΡΟΜΗΣΗ</w:t>
      </w:r>
    </w:p>
    <w:p w14:paraId="17DB15A6" w14:textId="77777777" w:rsidR="006D550B" w:rsidRDefault="008275EC" w:rsidP="006D550B">
      <w:pPr>
        <w:pBdr>
          <w:top w:val="nil"/>
          <w:left w:val="nil"/>
          <w:bottom w:val="nil"/>
          <w:right w:val="nil"/>
          <w:between w:val="nil"/>
          <w:bar w:val="nil"/>
        </w:pBdr>
        <w:spacing w:before="200" w:after="200"/>
        <w:ind w:firstLine="709"/>
        <w:rPr>
          <w:rFonts w:eastAsia="Calibri"/>
          <w:szCs w:val="24"/>
          <w:lang w:val="el-GR"/>
        </w:rPr>
      </w:pPr>
      <w:bookmarkStart w:id="88" w:name="_Hlk85195774"/>
      <w:r w:rsidRPr="008275EC">
        <w:rPr>
          <w:rFonts w:eastAsia="Calibri"/>
          <w:szCs w:val="24"/>
          <w:lang w:val="el-GR"/>
        </w:rPr>
        <w:t>Αρχικά θα παρουσιάσουμε τα αποτελέσματα της πρώτης γραμμικής ανάλυσης παλινδρόμησης. Η πρώτη ανάλυση αναφέρεται στη σχέση μεταξύ των μεταβολών των τιμών των μετοχών των τεσσάρων συστημικών τραπεζών, με τις μεταβολές των καθαρών αποτελεσμάτων χρήσης, των δεικτών κερδοφορίας, και των κερδών ανά μετοχή των χρηματοπιστωτικών αυτών οργανισμών, καθώς και με τις μεταβολές των χρηματοοικονομικών κινδύνων αυτών. Στην πρώτη γραμμική ανάλυση ως εξαρτημένη μεταβλητή είναι οι μεταβολές των τιμών των μετοχών (</w:t>
      </w:r>
      <w:r w:rsidRPr="008275EC">
        <w:rPr>
          <w:rFonts w:eastAsia="Calibri"/>
          <w:szCs w:val="24"/>
        </w:rPr>
        <w:t>SP</w:t>
      </w:r>
      <w:r w:rsidRPr="008275EC">
        <w:rPr>
          <w:rFonts w:eastAsia="Calibri"/>
          <w:szCs w:val="24"/>
          <w:lang w:val="el-GR"/>
        </w:rPr>
        <w:t>), και ως ανεξάρτητες μεταβλητές είναι οι μεταβολές των κερδών/ ζημιών χρήσης (</w:t>
      </w:r>
      <w:r w:rsidRPr="008275EC">
        <w:rPr>
          <w:rFonts w:eastAsia="Calibri"/>
          <w:szCs w:val="24"/>
        </w:rPr>
        <w:t>NI</w:t>
      </w:r>
      <w:r w:rsidRPr="008275EC">
        <w:rPr>
          <w:rFonts w:eastAsia="Calibri"/>
          <w:szCs w:val="24"/>
          <w:lang w:val="el-GR"/>
        </w:rPr>
        <w:t>), οι μεταβολές των δεικτών κερδοφορίας (</w:t>
      </w:r>
      <w:r w:rsidRPr="008275EC">
        <w:rPr>
          <w:rFonts w:eastAsia="Calibri"/>
          <w:szCs w:val="24"/>
        </w:rPr>
        <w:t>ROA</w:t>
      </w:r>
      <w:r w:rsidRPr="008275EC">
        <w:rPr>
          <w:rFonts w:eastAsia="Calibri"/>
          <w:szCs w:val="24"/>
          <w:lang w:val="el-GR"/>
        </w:rPr>
        <w:t xml:space="preserve"> και </w:t>
      </w:r>
      <w:r w:rsidRPr="008275EC">
        <w:rPr>
          <w:rFonts w:eastAsia="Calibri"/>
          <w:szCs w:val="24"/>
        </w:rPr>
        <w:t>ROE</w:t>
      </w:r>
      <w:r w:rsidRPr="008275EC">
        <w:rPr>
          <w:rFonts w:eastAsia="Calibri"/>
          <w:szCs w:val="24"/>
          <w:lang w:val="el-GR"/>
        </w:rPr>
        <w:t>), τα κέρδη ανά μετοχή (</w:t>
      </w:r>
      <w:r w:rsidRPr="008275EC">
        <w:rPr>
          <w:rFonts w:eastAsia="Calibri"/>
          <w:szCs w:val="24"/>
        </w:rPr>
        <w:t>EPS</w:t>
      </w:r>
      <w:r w:rsidRPr="008275EC">
        <w:rPr>
          <w:rFonts w:eastAsia="Calibri"/>
          <w:szCs w:val="24"/>
          <w:lang w:val="el-GR"/>
        </w:rPr>
        <w:t>), και οι χρηματοοικονομικοί κίνδυνοι των τεσσάρων συστημικών οργανισμών (</w:t>
      </w:r>
      <w:bookmarkStart w:id="89" w:name="_Hlk85192437"/>
      <w:r w:rsidRPr="008275EC">
        <w:rPr>
          <w:rFonts w:eastAsia="Calibri"/>
          <w:szCs w:val="24"/>
          <w:lang w:val="el-GR"/>
        </w:rPr>
        <w:t>κίνδυνος επιτοκίου -IRR, πιστωτικός κίνδυνος -CR, κίνδυνος φερεγγυότητας -SR και κίνδυνος ρευστότητας -LR</w:t>
      </w:r>
      <w:bookmarkEnd w:id="89"/>
      <w:r w:rsidRPr="008275EC">
        <w:rPr>
          <w:rFonts w:eastAsia="Calibri"/>
          <w:szCs w:val="24"/>
          <w:lang w:val="el-GR"/>
        </w:rPr>
        <w:t>).</w:t>
      </w:r>
    </w:p>
    <w:p w14:paraId="32A5D19E" w14:textId="77777777" w:rsidR="006D550B" w:rsidRDefault="006D550B" w:rsidP="006D550B">
      <w:pPr>
        <w:pBdr>
          <w:top w:val="nil"/>
          <w:left w:val="nil"/>
          <w:bottom w:val="nil"/>
          <w:right w:val="nil"/>
          <w:between w:val="nil"/>
          <w:bar w:val="nil"/>
        </w:pBdr>
        <w:spacing w:before="200" w:after="200"/>
        <w:ind w:firstLine="709"/>
        <w:rPr>
          <w:rFonts w:eastAsia="Calibri"/>
          <w:szCs w:val="24"/>
          <w:lang w:val="el-GR"/>
        </w:rPr>
      </w:pPr>
    </w:p>
    <w:p w14:paraId="7090C2E1" w14:textId="4FB7AA43" w:rsidR="008275EC" w:rsidRPr="008275EC" w:rsidRDefault="008275EC" w:rsidP="006D550B">
      <w:pPr>
        <w:pBdr>
          <w:top w:val="nil"/>
          <w:left w:val="nil"/>
          <w:bottom w:val="nil"/>
          <w:right w:val="nil"/>
          <w:between w:val="nil"/>
          <w:bar w:val="nil"/>
        </w:pBdr>
        <w:spacing w:before="200" w:after="200"/>
        <w:ind w:firstLine="709"/>
        <w:rPr>
          <w:rFonts w:eastAsia="Calibri"/>
          <w:szCs w:val="24"/>
          <w:lang w:val="el-GR"/>
        </w:rPr>
      </w:pPr>
      <w:bookmarkStart w:id="90" w:name="_Hlk88471896"/>
      <w:r w:rsidRPr="008275EC">
        <w:rPr>
          <w:rFonts w:eastAsia="Calibri"/>
          <w:szCs w:val="24"/>
          <w:lang w:val="el-GR"/>
        </w:rPr>
        <w:t>Η πρώτη γραμμική ανάλυση παλινδρόμησης</w:t>
      </w:r>
      <w:r w:rsidR="00921AD8">
        <w:rPr>
          <w:rFonts w:eastAsia="Calibri"/>
          <w:szCs w:val="24"/>
          <w:lang w:val="el-GR"/>
        </w:rPr>
        <w:t xml:space="preserve"> </w:t>
      </w:r>
      <w:r w:rsidR="006D550B">
        <w:rPr>
          <w:rFonts w:eastAsia="Calibri"/>
          <w:szCs w:val="24"/>
          <w:lang w:val="el-GR"/>
        </w:rPr>
        <w:t>έδωσε τα παρακάτω αποτελέσματα (υπόδειγμα παλινδρόμησης 1)</w:t>
      </w:r>
      <w:r w:rsidRPr="008275EC">
        <w:rPr>
          <w:rFonts w:eastAsia="Calibri"/>
          <w:szCs w:val="24"/>
          <w:lang w:val="el-GR"/>
        </w:rPr>
        <w:t>:</w:t>
      </w:r>
    </w:p>
    <w:p w14:paraId="29118FFE"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21CDC9C8" w14:textId="30C785E1" w:rsidR="008275EC" w:rsidRPr="008275EC" w:rsidRDefault="006D550B" w:rsidP="008275EC">
      <w:pPr>
        <w:pBdr>
          <w:top w:val="nil"/>
          <w:left w:val="nil"/>
          <w:bottom w:val="nil"/>
          <w:right w:val="nil"/>
          <w:between w:val="nil"/>
          <w:bar w:val="nil"/>
        </w:pBdr>
        <w:spacing w:before="200" w:after="200"/>
        <w:ind w:firstLine="0"/>
        <w:rPr>
          <w:rFonts w:eastAsia="Calibri"/>
          <w:b/>
          <w:bCs/>
          <w:szCs w:val="24"/>
          <w:lang w:val="el-GR"/>
        </w:rPr>
      </w:pPr>
      <w:bookmarkStart w:id="91" w:name="_Hlk85144865"/>
      <w:r w:rsidRPr="008275EC">
        <w:rPr>
          <w:rFonts w:eastAsia="Calibri"/>
          <w:b/>
          <w:bCs/>
          <w:szCs w:val="24"/>
          <w:lang w:val="el-GR"/>
        </w:rPr>
        <w:t>Π</w:t>
      </w:r>
      <w:r>
        <w:rPr>
          <w:rFonts w:eastAsia="Calibri"/>
          <w:b/>
          <w:bCs/>
          <w:szCs w:val="24"/>
          <w:lang w:val="el-GR"/>
        </w:rPr>
        <w:t>ί</w:t>
      </w:r>
      <w:r w:rsidRPr="008275EC">
        <w:rPr>
          <w:rFonts w:eastAsia="Calibri"/>
          <w:b/>
          <w:bCs/>
          <w:szCs w:val="24"/>
          <w:lang w:val="el-GR"/>
        </w:rPr>
        <w:t>νακας 1</w:t>
      </w:r>
      <w:r w:rsidR="00921AD8">
        <w:rPr>
          <w:rFonts w:eastAsia="Calibri"/>
          <w:b/>
          <w:bCs/>
          <w:szCs w:val="24"/>
          <w:lang w:val="el-GR"/>
        </w:rPr>
        <w:t>.</w:t>
      </w:r>
      <w:r w:rsidRPr="008275EC">
        <w:rPr>
          <w:rFonts w:eastAsia="Calibri"/>
          <w:b/>
          <w:bCs/>
          <w:szCs w:val="24"/>
          <w:lang w:val="el-GR"/>
        </w:rPr>
        <w:t xml:space="preserve"> </w:t>
      </w:r>
      <w:r w:rsidRPr="006D550B">
        <w:rPr>
          <w:rFonts w:eastAsia="Calibri"/>
          <w:szCs w:val="24"/>
          <w:lang w:val="el-GR"/>
        </w:rPr>
        <w:t>Αποτελ</w:t>
      </w:r>
      <w:r>
        <w:rPr>
          <w:rFonts w:eastAsia="Calibri"/>
          <w:szCs w:val="24"/>
          <w:lang w:val="el-GR"/>
        </w:rPr>
        <w:t>έ</w:t>
      </w:r>
      <w:r w:rsidRPr="006D550B">
        <w:rPr>
          <w:rFonts w:eastAsia="Calibri"/>
          <w:szCs w:val="24"/>
          <w:lang w:val="el-GR"/>
        </w:rPr>
        <w:t>σματα Πρ</w:t>
      </w:r>
      <w:r>
        <w:rPr>
          <w:rFonts w:eastAsia="Calibri"/>
          <w:szCs w:val="24"/>
          <w:lang w:val="el-GR"/>
        </w:rPr>
        <w:t>ώ</w:t>
      </w:r>
      <w:r w:rsidRPr="006D550B">
        <w:rPr>
          <w:rFonts w:eastAsia="Calibri"/>
          <w:szCs w:val="24"/>
          <w:lang w:val="el-GR"/>
        </w:rPr>
        <w:t>της Γραμμικ</w:t>
      </w:r>
      <w:r>
        <w:rPr>
          <w:rFonts w:eastAsia="Calibri"/>
          <w:szCs w:val="24"/>
          <w:lang w:val="el-GR"/>
        </w:rPr>
        <w:t>ή</w:t>
      </w:r>
      <w:r w:rsidRPr="006D550B">
        <w:rPr>
          <w:rFonts w:eastAsia="Calibri"/>
          <w:szCs w:val="24"/>
          <w:lang w:val="el-GR"/>
        </w:rPr>
        <w:t>ς Παλινδρ</w:t>
      </w:r>
      <w:r>
        <w:rPr>
          <w:rFonts w:eastAsia="Calibri"/>
          <w:szCs w:val="24"/>
          <w:lang w:val="el-GR"/>
        </w:rPr>
        <w:t>ό</w:t>
      </w:r>
      <w:r w:rsidRPr="006D550B">
        <w:rPr>
          <w:rFonts w:eastAsia="Calibri"/>
          <w:szCs w:val="24"/>
          <w:lang w:val="el-GR"/>
        </w:rPr>
        <w:t>μησης</w:t>
      </w:r>
      <w:r w:rsidR="00DF7258" w:rsidRPr="00DF7258">
        <w:rPr>
          <w:rStyle w:val="af6"/>
          <w:rFonts w:eastAsia="Calibri"/>
          <w:sz w:val="16"/>
          <w:szCs w:val="16"/>
          <w:lang w:val="el-GR"/>
        </w:rPr>
        <w:footnoteReference w:id="16"/>
      </w:r>
      <w:r w:rsidR="00DF7258">
        <w:rPr>
          <w:rFonts w:eastAsia="Calibri"/>
          <w:szCs w:val="24"/>
          <w:lang w:val="el-GR"/>
        </w:rPr>
        <w:t>.</w:t>
      </w:r>
    </w:p>
    <w:tbl>
      <w:tblPr>
        <w:tblStyle w:val="ListTable2-Accent11"/>
        <w:tblW w:w="6307" w:type="dxa"/>
        <w:tblInd w:w="1343" w:type="dxa"/>
        <w:tblLook w:val="04A0" w:firstRow="1" w:lastRow="0" w:firstColumn="1" w:lastColumn="0" w:noHBand="0" w:noVBand="1"/>
      </w:tblPr>
      <w:tblGrid>
        <w:gridCol w:w="1418"/>
        <w:gridCol w:w="1701"/>
        <w:gridCol w:w="958"/>
        <w:gridCol w:w="245"/>
        <w:gridCol w:w="1985"/>
      </w:tblGrid>
      <w:tr w:rsidR="006D550B" w:rsidRPr="008275EC" w14:paraId="1BEF60EE" w14:textId="12CCE874" w:rsidTr="00DF72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gridSpan w:val="3"/>
            <w:tcBorders>
              <w:top w:val="single" w:sz="4" w:space="0" w:color="002060"/>
              <w:left w:val="single" w:sz="4" w:space="0" w:color="002060"/>
              <w:bottom w:val="single" w:sz="4" w:space="0" w:color="002060"/>
              <w:right w:val="single" w:sz="4" w:space="0" w:color="002060"/>
            </w:tcBorders>
          </w:tcPr>
          <w:bookmarkEnd w:id="91"/>
          <w:p w14:paraId="4361D9DA" w14:textId="597C5097" w:rsidR="006D550B" w:rsidRPr="008275EC" w:rsidRDefault="006D550B" w:rsidP="008275EC">
            <w:pPr>
              <w:spacing w:line="240" w:lineRule="auto"/>
              <w:ind w:firstLine="0"/>
              <w:jc w:val="center"/>
              <w:rPr>
                <w:rFonts w:eastAsia="Calibri"/>
                <w:szCs w:val="24"/>
                <w:lang w:val="el-GR"/>
              </w:rPr>
            </w:pPr>
            <w:r w:rsidRPr="008275EC">
              <w:rPr>
                <w:rFonts w:eastAsia="Calibri"/>
                <w:szCs w:val="24"/>
              </w:rPr>
              <w:t>R</w:t>
            </w:r>
          </w:p>
        </w:tc>
        <w:tc>
          <w:tcPr>
            <w:tcW w:w="2230" w:type="dxa"/>
            <w:gridSpan w:val="2"/>
            <w:tcBorders>
              <w:top w:val="single" w:sz="4" w:space="0" w:color="002060"/>
              <w:left w:val="single" w:sz="4" w:space="0" w:color="002060"/>
              <w:bottom w:val="single" w:sz="4" w:space="0" w:color="002060"/>
              <w:right w:val="single" w:sz="4" w:space="0" w:color="002060"/>
            </w:tcBorders>
          </w:tcPr>
          <w:p w14:paraId="59FE70F2" w14:textId="0FDFC691" w:rsidR="006D550B" w:rsidRPr="006D550B" w:rsidRDefault="006D550B" w:rsidP="008275EC">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b w:val="0"/>
                <w:bCs w:val="0"/>
                <w:szCs w:val="24"/>
                <w:lang w:val="el-GR"/>
              </w:rPr>
            </w:pPr>
            <w:r w:rsidRPr="008275EC">
              <w:rPr>
                <w:rFonts w:eastAsia="Calibri"/>
                <w:b w:val="0"/>
                <w:bCs w:val="0"/>
                <w:szCs w:val="24"/>
                <w:lang w:val="el-GR"/>
              </w:rPr>
              <w:t>0,408</w:t>
            </w:r>
          </w:p>
        </w:tc>
      </w:tr>
      <w:tr w:rsidR="006D550B" w:rsidRPr="008275EC" w14:paraId="3108D86F" w14:textId="113FE6B5" w:rsidTr="00DF72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gridSpan w:val="3"/>
            <w:tcBorders>
              <w:top w:val="dashed" w:sz="4" w:space="0" w:color="auto"/>
              <w:left w:val="single" w:sz="4" w:space="0" w:color="002060"/>
              <w:bottom w:val="single" w:sz="4" w:space="0" w:color="002060"/>
              <w:right w:val="single" w:sz="4" w:space="0" w:color="002060"/>
            </w:tcBorders>
            <w:shd w:val="clear" w:color="auto" w:fill="002060"/>
          </w:tcPr>
          <w:p w14:paraId="753FF0E1" w14:textId="3BAAFABB" w:rsidR="006D550B" w:rsidRPr="008275EC" w:rsidRDefault="006D550B" w:rsidP="008275EC">
            <w:pPr>
              <w:spacing w:line="240" w:lineRule="auto"/>
              <w:ind w:firstLine="0"/>
              <w:jc w:val="center"/>
              <w:rPr>
                <w:rFonts w:eastAsia="Calibri"/>
                <w:szCs w:val="24"/>
                <w:lang w:val="el-GR"/>
              </w:rPr>
            </w:pPr>
            <w:r w:rsidRPr="008275EC">
              <w:rPr>
                <w:rFonts w:eastAsia="Calibri"/>
                <w:szCs w:val="24"/>
              </w:rPr>
              <w:t>R</w:t>
            </w:r>
            <w:r w:rsidRPr="008275EC">
              <w:rPr>
                <w:rFonts w:eastAsia="Calibri"/>
                <w:szCs w:val="24"/>
                <w:vertAlign w:val="superscript"/>
              </w:rPr>
              <w:t>2</w:t>
            </w:r>
          </w:p>
        </w:tc>
        <w:tc>
          <w:tcPr>
            <w:tcW w:w="2230" w:type="dxa"/>
            <w:gridSpan w:val="2"/>
            <w:tcBorders>
              <w:top w:val="dashed" w:sz="4" w:space="0" w:color="auto"/>
              <w:left w:val="single" w:sz="4" w:space="0" w:color="002060"/>
              <w:bottom w:val="single" w:sz="4" w:space="0" w:color="002060"/>
              <w:right w:val="single" w:sz="4" w:space="0" w:color="002060"/>
            </w:tcBorders>
            <w:shd w:val="clear" w:color="auto" w:fill="002060"/>
          </w:tcPr>
          <w:p w14:paraId="5B826BB8" w14:textId="6E91316A" w:rsidR="006D550B" w:rsidRPr="006D550B" w:rsidRDefault="006D550B" w:rsidP="008275EC">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r w:rsidRPr="008275EC">
              <w:rPr>
                <w:rFonts w:eastAsia="Calibri"/>
                <w:szCs w:val="24"/>
                <w:lang w:val="el-GR"/>
              </w:rPr>
              <w:t>0,167</w:t>
            </w:r>
          </w:p>
        </w:tc>
      </w:tr>
      <w:tr w:rsidR="006D550B" w:rsidRPr="008275EC" w14:paraId="0D7C3157" w14:textId="356B5400" w:rsidTr="00DF7258">
        <w:tc>
          <w:tcPr>
            <w:cnfStyle w:val="001000000000" w:firstRow="0" w:lastRow="0" w:firstColumn="1" w:lastColumn="0" w:oddVBand="0" w:evenVBand="0" w:oddHBand="0" w:evenHBand="0" w:firstRowFirstColumn="0" w:firstRowLastColumn="0" w:lastRowFirstColumn="0" w:lastRowLastColumn="0"/>
            <w:tcW w:w="4077" w:type="dxa"/>
            <w:gridSpan w:val="3"/>
            <w:tcBorders>
              <w:top w:val="single" w:sz="4" w:space="0" w:color="002060"/>
              <w:left w:val="single" w:sz="4" w:space="0" w:color="002060"/>
              <w:bottom w:val="single" w:sz="4" w:space="0" w:color="002060"/>
              <w:right w:val="single" w:sz="4" w:space="0" w:color="002060"/>
            </w:tcBorders>
          </w:tcPr>
          <w:p w14:paraId="7FEEF6BA" w14:textId="1514E297" w:rsidR="006D550B" w:rsidRPr="008275EC" w:rsidRDefault="006D550B" w:rsidP="008275EC">
            <w:pPr>
              <w:spacing w:line="240" w:lineRule="auto"/>
              <w:ind w:firstLine="0"/>
              <w:jc w:val="center"/>
              <w:rPr>
                <w:rFonts w:eastAsia="Calibri"/>
                <w:szCs w:val="24"/>
                <w:lang w:val="el-GR"/>
              </w:rPr>
            </w:pPr>
            <w:r w:rsidRPr="008275EC">
              <w:rPr>
                <w:rFonts w:eastAsia="Calibri"/>
                <w:szCs w:val="24"/>
                <w:lang w:val="el-GR"/>
              </w:rPr>
              <w:t xml:space="preserve">Προσαρμοσμένο </w:t>
            </w:r>
            <w:r w:rsidRPr="008275EC">
              <w:rPr>
                <w:rFonts w:eastAsia="Calibri"/>
                <w:szCs w:val="24"/>
              </w:rPr>
              <w:t>R</w:t>
            </w:r>
            <w:r w:rsidRPr="008275EC">
              <w:rPr>
                <w:rFonts w:eastAsia="Calibri"/>
                <w:szCs w:val="24"/>
                <w:vertAlign w:val="superscript"/>
              </w:rPr>
              <w:t>2</w:t>
            </w:r>
          </w:p>
        </w:tc>
        <w:tc>
          <w:tcPr>
            <w:tcW w:w="2230" w:type="dxa"/>
            <w:gridSpan w:val="2"/>
            <w:tcBorders>
              <w:top w:val="single" w:sz="4" w:space="0" w:color="002060"/>
              <w:left w:val="single" w:sz="4" w:space="0" w:color="002060"/>
              <w:bottom w:val="single" w:sz="4" w:space="0" w:color="002060"/>
              <w:right w:val="single" w:sz="4" w:space="0" w:color="002060"/>
            </w:tcBorders>
          </w:tcPr>
          <w:p w14:paraId="71825BE3" w14:textId="0C08035D" w:rsidR="006D550B" w:rsidRPr="006D550B" w:rsidRDefault="006D550B" w:rsidP="008275E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8275EC">
              <w:rPr>
                <w:rFonts w:eastAsia="Calibri"/>
                <w:szCs w:val="24"/>
                <w:lang w:val="el-GR"/>
              </w:rPr>
              <w:t>0,036</w:t>
            </w:r>
          </w:p>
        </w:tc>
      </w:tr>
      <w:tr w:rsidR="00DF7258" w:rsidRPr="008275EC" w14:paraId="341C0EA5" w14:textId="310C1624" w:rsidTr="00DF72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gridSpan w:val="3"/>
            <w:tcBorders>
              <w:top w:val="single" w:sz="4" w:space="0" w:color="002060"/>
              <w:left w:val="single" w:sz="4" w:space="0" w:color="002060"/>
              <w:bottom w:val="single" w:sz="4" w:space="0" w:color="002060"/>
              <w:right w:val="single" w:sz="4" w:space="0" w:color="002060"/>
            </w:tcBorders>
            <w:shd w:val="clear" w:color="auto" w:fill="002060"/>
          </w:tcPr>
          <w:p w14:paraId="2E16B4F8" w14:textId="77777777" w:rsidR="00DF7258" w:rsidRPr="008275EC" w:rsidRDefault="00DF7258" w:rsidP="008275EC">
            <w:pPr>
              <w:spacing w:line="240" w:lineRule="auto"/>
              <w:ind w:firstLine="0"/>
              <w:jc w:val="center"/>
              <w:rPr>
                <w:rFonts w:eastAsia="Calibri"/>
                <w:szCs w:val="24"/>
                <w:lang w:val="el-GR"/>
              </w:rPr>
            </w:pPr>
            <w:r w:rsidRPr="008275EC">
              <w:rPr>
                <w:rFonts w:eastAsia="Calibri"/>
                <w:szCs w:val="24"/>
                <w:lang w:val="el-GR"/>
              </w:rPr>
              <w:t xml:space="preserve">Τιμή σημαντικότητας </w:t>
            </w:r>
          </w:p>
          <w:p w14:paraId="382961F1" w14:textId="77777777" w:rsidR="00DF7258" w:rsidRPr="008275EC" w:rsidRDefault="00DF7258" w:rsidP="008275EC">
            <w:pPr>
              <w:spacing w:line="240" w:lineRule="auto"/>
              <w:ind w:firstLine="0"/>
              <w:jc w:val="center"/>
              <w:rPr>
                <w:rFonts w:eastAsia="Calibri"/>
                <w:szCs w:val="24"/>
                <w:lang w:val="el-GR"/>
              </w:rPr>
            </w:pPr>
            <w:r w:rsidRPr="008275EC">
              <w:rPr>
                <w:rFonts w:eastAsia="Calibri"/>
                <w:szCs w:val="24"/>
                <w:lang w:val="el-GR"/>
              </w:rPr>
              <w:t>(</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w:t>
            </w:r>
          </w:p>
          <w:p w14:paraId="47F599DA" w14:textId="0A6177A1" w:rsidR="00DF7258" w:rsidRPr="008275EC" w:rsidRDefault="00DF7258" w:rsidP="00DF7258">
            <w:pPr>
              <w:spacing w:line="240" w:lineRule="auto"/>
              <w:ind w:firstLine="0"/>
              <w:jc w:val="center"/>
              <w:rPr>
                <w:rFonts w:eastAsia="Calibri"/>
                <w:b w:val="0"/>
                <w:bCs w:val="0"/>
                <w:szCs w:val="24"/>
                <w:lang w:val="el-GR"/>
              </w:rPr>
            </w:pPr>
            <w:r w:rsidRPr="008275EC">
              <w:rPr>
                <w:rFonts w:eastAsia="Calibri"/>
                <w:szCs w:val="24"/>
                <w:lang w:val="el-GR"/>
              </w:rPr>
              <w:t>(</w:t>
            </w:r>
            <w:r w:rsidRPr="008275EC">
              <w:rPr>
                <w:rFonts w:eastAsia="Calibri"/>
                <w:szCs w:val="24"/>
              </w:rPr>
              <w:t>f</w:t>
            </w:r>
            <w:r w:rsidRPr="008275EC">
              <w:rPr>
                <w:rFonts w:eastAsia="Calibri"/>
                <w:szCs w:val="24"/>
                <w:lang w:val="el-GR"/>
              </w:rPr>
              <w:t>-</w:t>
            </w:r>
            <w:r w:rsidRPr="008275EC">
              <w:rPr>
                <w:rFonts w:eastAsia="Calibri"/>
                <w:szCs w:val="24"/>
              </w:rPr>
              <w:t>value</w:t>
            </w:r>
            <w:r w:rsidRPr="008275EC">
              <w:rPr>
                <w:rFonts w:eastAsia="Calibri"/>
                <w:szCs w:val="24"/>
                <w:lang w:val="el-GR"/>
              </w:rPr>
              <w:t>)</w:t>
            </w:r>
          </w:p>
        </w:tc>
        <w:tc>
          <w:tcPr>
            <w:tcW w:w="2230" w:type="dxa"/>
            <w:gridSpan w:val="2"/>
            <w:tcBorders>
              <w:top w:val="single" w:sz="4" w:space="0" w:color="002060"/>
              <w:left w:val="single" w:sz="4" w:space="0" w:color="002060"/>
              <w:bottom w:val="single" w:sz="4" w:space="0" w:color="002060"/>
              <w:right w:val="single" w:sz="4" w:space="0" w:color="002060"/>
            </w:tcBorders>
            <w:shd w:val="clear" w:color="auto" w:fill="002060"/>
          </w:tcPr>
          <w:p w14:paraId="2B9A6507" w14:textId="77777777" w:rsidR="00DF7258" w:rsidRDefault="00DF7258" w:rsidP="00DF7258">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p>
          <w:p w14:paraId="537A1D25" w14:textId="5D22912A" w:rsidR="00DF7258" w:rsidRPr="008275EC" w:rsidRDefault="00DF7258" w:rsidP="00DF7258">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r w:rsidRPr="008275EC">
              <w:rPr>
                <w:rFonts w:eastAsia="Calibri"/>
                <w:szCs w:val="24"/>
                <w:lang w:val="el-GR"/>
              </w:rPr>
              <w:t>0,277</w:t>
            </w:r>
          </w:p>
          <w:p w14:paraId="37BA3487" w14:textId="0EBCE7B1" w:rsidR="00DF7258" w:rsidRPr="008275EC" w:rsidRDefault="00DF7258" w:rsidP="00DF7258">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r w:rsidRPr="008275EC">
              <w:rPr>
                <w:rFonts w:eastAsia="Calibri"/>
                <w:szCs w:val="24"/>
              </w:rPr>
              <w:t>1,276</w:t>
            </w:r>
          </w:p>
        </w:tc>
      </w:tr>
      <w:tr w:rsidR="00DF7258" w:rsidRPr="008275EC" w14:paraId="738DB6C5" w14:textId="7D7DE386" w:rsidTr="00DF7258">
        <w:tc>
          <w:tcPr>
            <w:cnfStyle w:val="001000000000" w:firstRow="0" w:lastRow="0" w:firstColumn="1" w:lastColumn="0" w:oddVBand="0" w:evenVBand="0" w:oddHBand="0" w:evenHBand="0" w:firstRowFirstColumn="0" w:firstRowLastColumn="0" w:lastRowFirstColumn="0" w:lastRowLastColumn="0"/>
            <w:tcW w:w="1418" w:type="dxa"/>
            <w:tcBorders>
              <w:top w:val="single" w:sz="4" w:space="0" w:color="002060"/>
              <w:left w:val="single" w:sz="4" w:space="0" w:color="002060"/>
              <w:bottom w:val="single" w:sz="4" w:space="0" w:color="002060"/>
              <w:right w:val="single" w:sz="4" w:space="0" w:color="002060"/>
            </w:tcBorders>
          </w:tcPr>
          <w:p w14:paraId="25B8EA20" w14:textId="77777777" w:rsidR="00DF7258" w:rsidRPr="002E7AE8" w:rsidRDefault="00DF7258" w:rsidP="008275EC">
            <w:pPr>
              <w:spacing w:line="240" w:lineRule="auto"/>
              <w:ind w:firstLine="0"/>
              <w:jc w:val="center"/>
              <w:rPr>
                <w:rFonts w:eastAsia="Calibri"/>
                <w:b w:val="0"/>
                <w:bCs w:val="0"/>
                <w:szCs w:val="24"/>
                <w:lang w:val="fr-FR"/>
              </w:rPr>
            </w:pPr>
          </w:p>
          <w:p w14:paraId="42F99B63" w14:textId="77777777" w:rsidR="00DF7258" w:rsidRPr="002E7AE8" w:rsidRDefault="00DF7258" w:rsidP="008275EC">
            <w:pPr>
              <w:spacing w:line="240" w:lineRule="auto"/>
              <w:ind w:firstLine="0"/>
              <w:jc w:val="center"/>
              <w:rPr>
                <w:rFonts w:eastAsia="Calibri"/>
                <w:b w:val="0"/>
                <w:bCs w:val="0"/>
                <w:szCs w:val="24"/>
                <w:lang w:val="fr-FR"/>
              </w:rPr>
            </w:pPr>
          </w:p>
          <w:p w14:paraId="13F9C6DD" w14:textId="77777777" w:rsidR="00DF7258" w:rsidRPr="002E7AE8" w:rsidRDefault="00DF7258" w:rsidP="008275EC">
            <w:pPr>
              <w:spacing w:line="240" w:lineRule="auto"/>
              <w:ind w:firstLine="0"/>
              <w:jc w:val="center"/>
              <w:rPr>
                <w:rFonts w:eastAsia="Calibri"/>
                <w:b w:val="0"/>
                <w:bCs w:val="0"/>
                <w:szCs w:val="24"/>
                <w:lang w:val="fr-FR"/>
              </w:rPr>
            </w:pPr>
          </w:p>
          <w:p w14:paraId="1813EE08" w14:textId="77777777" w:rsidR="00DF7258" w:rsidRPr="002E7AE8" w:rsidRDefault="00DF7258" w:rsidP="008275EC">
            <w:pPr>
              <w:spacing w:line="240" w:lineRule="auto"/>
              <w:ind w:firstLine="0"/>
              <w:jc w:val="center"/>
              <w:rPr>
                <w:rFonts w:eastAsia="Calibri"/>
                <w:b w:val="0"/>
                <w:bCs w:val="0"/>
                <w:szCs w:val="24"/>
                <w:lang w:val="fr-FR"/>
              </w:rPr>
            </w:pPr>
          </w:p>
          <w:p w14:paraId="1F05C390" w14:textId="704EBF75" w:rsidR="006D550B" w:rsidRPr="002E7AE8" w:rsidRDefault="006D550B" w:rsidP="008275EC">
            <w:pPr>
              <w:spacing w:line="240" w:lineRule="auto"/>
              <w:ind w:firstLine="0"/>
              <w:jc w:val="center"/>
              <w:rPr>
                <w:rFonts w:eastAsia="Calibri"/>
                <w:szCs w:val="24"/>
                <w:lang w:val="fr-FR"/>
              </w:rPr>
            </w:pPr>
            <w:r w:rsidRPr="008275EC">
              <w:rPr>
                <w:rFonts w:eastAsia="Calibri"/>
                <w:szCs w:val="24"/>
                <w:lang w:val="el-GR"/>
              </w:rPr>
              <w:t>Σταθερά</w:t>
            </w:r>
          </w:p>
          <w:p w14:paraId="3B2C26F5" w14:textId="77777777" w:rsidR="006D550B" w:rsidRPr="002E7AE8" w:rsidRDefault="006D550B" w:rsidP="008275EC">
            <w:pPr>
              <w:spacing w:line="240" w:lineRule="auto"/>
              <w:ind w:firstLine="0"/>
              <w:jc w:val="center"/>
              <w:rPr>
                <w:rFonts w:eastAsia="Calibri"/>
                <w:szCs w:val="24"/>
                <w:lang w:val="fr-FR"/>
              </w:rPr>
            </w:pPr>
            <w:r w:rsidRPr="002E7AE8">
              <w:rPr>
                <w:rFonts w:eastAsia="Calibri"/>
                <w:szCs w:val="24"/>
                <w:lang w:val="fr-FR"/>
              </w:rPr>
              <w:t>NI</w:t>
            </w:r>
          </w:p>
          <w:p w14:paraId="27DF4EF6" w14:textId="77777777" w:rsidR="006D550B" w:rsidRPr="002E7AE8" w:rsidRDefault="006D550B" w:rsidP="008275EC">
            <w:pPr>
              <w:spacing w:line="240" w:lineRule="auto"/>
              <w:ind w:firstLine="0"/>
              <w:jc w:val="center"/>
              <w:rPr>
                <w:rFonts w:eastAsia="Calibri"/>
                <w:szCs w:val="24"/>
                <w:lang w:val="fr-FR"/>
              </w:rPr>
            </w:pPr>
            <w:r w:rsidRPr="002E7AE8">
              <w:rPr>
                <w:rFonts w:eastAsia="Calibri"/>
                <w:szCs w:val="24"/>
                <w:lang w:val="fr-FR"/>
              </w:rPr>
              <w:t>ROA</w:t>
            </w:r>
          </w:p>
          <w:p w14:paraId="3CE4F18F" w14:textId="77777777" w:rsidR="006D550B" w:rsidRPr="002E7AE8" w:rsidRDefault="006D550B" w:rsidP="008275EC">
            <w:pPr>
              <w:spacing w:line="240" w:lineRule="auto"/>
              <w:ind w:firstLine="0"/>
              <w:jc w:val="center"/>
              <w:rPr>
                <w:rFonts w:eastAsia="Calibri"/>
                <w:szCs w:val="24"/>
                <w:lang w:val="fr-FR"/>
              </w:rPr>
            </w:pPr>
            <w:r w:rsidRPr="002E7AE8">
              <w:rPr>
                <w:rFonts w:eastAsia="Calibri"/>
                <w:szCs w:val="24"/>
                <w:lang w:val="fr-FR"/>
              </w:rPr>
              <w:t>ROE</w:t>
            </w:r>
          </w:p>
          <w:p w14:paraId="3613CBA6" w14:textId="77777777" w:rsidR="006D550B" w:rsidRPr="002E7AE8" w:rsidRDefault="006D550B" w:rsidP="008275EC">
            <w:pPr>
              <w:spacing w:line="240" w:lineRule="auto"/>
              <w:ind w:firstLine="0"/>
              <w:jc w:val="center"/>
              <w:rPr>
                <w:rFonts w:eastAsia="Calibri"/>
                <w:szCs w:val="24"/>
                <w:lang w:val="fr-FR"/>
              </w:rPr>
            </w:pPr>
            <w:r w:rsidRPr="002E7AE8">
              <w:rPr>
                <w:rFonts w:eastAsia="Calibri"/>
                <w:szCs w:val="24"/>
                <w:lang w:val="fr-FR"/>
              </w:rPr>
              <w:t>EPS</w:t>
            </w:r>
          </w:p>
          <w:p w14:paraId="30786AD5" w14:textId="77777777" w:rsidR="006D550B" w:rsidRPr="002E7AE8" w:rsidRDefault="006D550B" w:rsidP="008275EC">
            <w:pPr>
              <w:spacing w:line="240" w:lineRule="auto"/>
              <w:ind w:firstLine="0"/>
              <w:jc w:val="center"/>
              <w:rPr>
                <w:rFonts w:eastAsia="Calibri"/>
                <w:szCs w:val="24"/>
                <w:lang w:val="fr-FR"/>
              </w:rPr>
            </w:pPr>
            <w:r w:rsidRPr="002E7AE8">
              <w:rPr>
                <w:rFonts w:eastAsia="Calibri"/>
                <w:szCs w:val="24"/>
                <w:lang w:val="fr-FR"/>
              </w:rPr>
              <w:t>IRR</w:t>
            </w:r>
          </w:p>
          <w:p w14:paraId="16A74AD1" w14:textId="77777777" w:rsidR="006D550B" w:rsidRPr="008275EC" w:rsidRDefault="006D550B" w:rsidP="008275EC">
            <w:pPr>
              <w:spacing w:line="240" w:lineRule="auto"/>
              <w:ind w:firstLine="0"/>
              <w:jc w:val="center"/>
              <w:rPr>
                <w:rFonts w:eastAsia="Calibri"/>
                <w:szCs w:val="24"/>
              </w:rPr>
            </w:pPr>
            <w:r w:rsidRPr="008275EC">
              <w:rPr>
                <w:rFonts w:eastAsia="Calibri"/>
                <w:szCs w:val="24"/>
              </w:rPr>
              <w:t>CR</w:t>
            </w:r>
          </w:p>
          <w:p w14:paraId="2AEDFACF" w14:textId="77777777" w:rsidR="006D550B" w:rsidRPr="008275EC" w:rsidRDefault="006D550B" w:rsidP="008275EC">
            <w:pPr>
              <w:spacing w:line="240" w:lineRule="auto"/>
              <w:ind w:firstLine="0"/>
              <w:jc w:val="center"/>
              <w:rPr>
                <w:rFonts w:eastAsia="Calibri"/>
                <w:szCs w:val="24"/>
              </w:rPr>
            </w:pPr>
            <w:r w:rsidRPr="008275EC">
              <w:rPr>
                <w:rFonts w:eastAsia="Calibri"/>
                <w:szCs w:val="24"/>
              </w:rPr>
              <w:t>SR</w:t>
            </w:r>
          </w:p>
          <w:p w14:paraId="06BBAA99" w14:textId="77777777" w:rsidR="006D550B" w:rsidRPr="008275EC" w:rsidRDefault="006D550B" w:rsidP="008275EC">
            <w:pPr>
              <w:spacing w:line="240" w:lineRule="auto"/>
              <w:ind w:firstLine="0"/>
              <w:jc w:val="center"/>
              <w:rPr>
                <w:rFonts w:eastAsia="Calibri"/>
                <w:szCs w:val="24"/>
                <w:lang w:val="el-GR"/>
              </w:rPr>
            </w:pPr>
            <w:r w:rsidRPr="008275EC">
              <w:rPr>
                <w:rFonts w:eastAsia="Calibri"/>
                <w:szCs w:val="24"/>
                <w:lang w:val="el-GR"/>
              </w:rPr>
              <w:t>LR</w:t>
            </w:r>
          </w:p>
        </w:tc>
        <w:tc>
          <w:tcPr>
            <w:tcW w:w="1701" w:type="dxa"/>
            <w:tcBorders>
              <w:top w:val="single" w:sz="4" w:space="0" w:color="002060"/>
              <w:left w:val="single" w:sz="4" w:space="0" w:color="002060"/>
              <w:bottom w:val="single" w:sz="4" w:space="0" w:color="002060"/>
              <w:right w:val="single" w:sz="4" w:space="0" w:color="002060"/>
            </w:tcBorders>
          </w:tcPr>
          <w:p w14:paraId="3C979244"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lang w:val="el-GR"/>
              </w:rPr>
            </w:pPr>
          </w:p>
          <w:p w14:paraId="4A01FB17" w14:textId="77777777" w:rsidR="006D550B"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lang w:val="el-GR"/>
              </w:rPr>
            </w:pPr>
            <w:r w:rsidRPr="00DF7258">
              <w:rPr>
                <w:rFonts w:eastAsia="Calibri"/>
                <w:b/>
                <w:bCs/>
                <w:szCs w:val="24"/>
                <w:lang w:val="el-GR"/>
              </w:rPr>
              <w:t>Εκτιμώμενοι συντελεστές:</w:t>
            </w:r>
          </w:p>
          <w:p w14:paraId="30D1CE19"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lang w:val="el-GR"/>
              </w:rPr>
            </w:pPr>
          </w:p>
          <w:p w14:paraId="6D8471CD"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DF7258">
              <w:rPr>
                <w:rFonts w:eastAsia="Calibri"/>
                <w:szCs w:val="24"/>
                <w:lang w:val="el-GR"/>
              </w:rPr>
              <w:t>-0,046</w:t>
            </w:r>
          </w:p>
          <w:p w14:paraId="40206111"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0,023</w:t>
            </w:r>
          </w:p>
          <w:p w14:paraId="43C92876"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-0,015</w:t>
            </w:r>
          </w:p>
          <w:p w14:paraId="71DEB281"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0,003</w:t>
            </w:r>
          </w:p>
          <w:p w14:paraId="14373208"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0,0003</w:t>
            </w:r>
          </w:p>
          <w:p w14:paraId="1515E045"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-0,903</w:t>
            </w:r>
          </w:p>
          <w:p w14:paraId="4BEF31AB"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0,012</w:t>
            </w:r>
          </w:p>
          <w:p w14:paraId="36BFE8FA"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-1,187</w:t>
            </w:r>
          </w:p>
          <w:p w14:paraId="6E8EB39E" w14:textId="411E4C1D" w:rsidR="00DF7258" w:rsidRPr="008275EC"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0,206</w:t>
            </w:r>
          </w:p>
        </w:tc>
        <w:tc>
          <w:tcPr>
            <w:tcW w:w="1203" w:type="dxa"/>
            <w:gridSpan w:val="2"/>
            <w:tcBorders>
              <w:top w:val="single" w:sz="4" w:space="0" w:color="002060"/>
              <w:left w:val="single" w:sz="4" w:space="0" w:color="002060"/>
              <w:bottom w:val="single" w:sz="4" w:space="0" w:color="002060"/>
              <w:right w:val="single" w:sz="4" w:space="0" w:color="002060"/>
            </w:tcBorders>
          </w:tcPr>
          <w:p w14:paraId="226651A8" w14:textId="77777777" w:rsidR="006D550B" w:rsidRDefault="006D550B"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p>
          <w:p w14:paraId="6E865CE7"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rPr>
            </w:pPr>
          </w:p>
          <w:p w14:paraId="27D4F4B0"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rPr>
            </w:pPr>
            <w:r w:rsidRPr="00DF7258">
              <w:rPr>
                <w:rFonts w:eastAsia="Calibri"/>
                <w:b/>
                <w:bCs/>
                <w:szCs w:val="24"/>
              </w:rPr>
              <w:t>t-tests:</w:t>
            </w:r>
          </w:p>
          <w:p w14:paraId="506104B4"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rPr>
            </w:pPr>
          </w:p>
          <w:p w14:paraId="7F514183"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rPr>
            </w:pPr>
            <w:r w:rsidRPr="00DF7258">
              <w:rPr>
                <w:rFonts w:eastAsia="Calibri"/>
                <w:szCs w:val="24"/>
              </w:rPr>
              <w:t>-0,428</w:t>
            </w:r>
          </w:p>
          <w:p w14:paraId="54C345A5"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0,114</w:t>
            </w:r>
          </w:p>
          <w:p w14:paraId="2A9BEE1F"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-0,090</w:t>
            </w:r>
          </w:p>
          <w:p w14:paraId="5FA933CB"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2,371</w:t>
            </w:r>
          </w:p>
          <w:p w14:paraId="60162178"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0,120</w:t>
            </w:r>
          </w:p>
          <w:p w14:paraId="5D24438C"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-0,519</w:t>
            </w:r>
          </w:p>
          <w:p w14:paraId="11CA1D2D"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0,051</w:t>
            </w:r>
          </w:p>
          <w:p w14:paraId="3EB09D4E"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-0,209</w:t>
            </w:r>
          </w:p>
          <w:p w14:paraId="67CE97DE" w14:textId="0BCFFF5E" w:rsidR="00DF7258" w:rsidRP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2,814</w:t>
            </w:r>
          </w:p>
        </w:tc>
        <w:tc>
          <w:tcPr>
            <w:tcW w:w="1985" w:type="dxa"/>
            <w:tcBorders>
              <w:top w:val="single" w:sz="4" w:space="0" w:color="002060"/>
              <w:left w:val="single" w:sz="4" w:space="0" w:color="002060"/>
              <w:bottom w:val="single" w:sz="4" w:space="0" w:color="002060"/>
              <w:right w:val="single" w:sz="4" w:space="0" w:color="002060"/>
            </w:tcBorders>
          </w:tcPr>
          <w:p w14:paraId="3FC73555" w14:textId="77777777" w:rsidR="00DF7258" w:rsidRPr="008275EC"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lang w:val="el-GR"/>
              </w:rPr>
            </w:pPr>
            <w:r w:rsidRPr="008275EC">
              <w:rPr>
                <w:rFonts w:eastAsia="Calibri"/>
                <w:b/>
                <w:bCs/>
                <w:szCs w:val="24"/>
                <w:lang w:val="el-GR"/>
              </w:rPr>
              <w:t>Τιμή σημαντικότητας (</w:t>
            </w:r>
            <w:r w:rsidRPr="008275EC">
              <w:rPr>
                <w:rFonts w:eastAsia="Calibri"/>
                <w:b/>
                <w:bCs/>
                <w:szCs w:val="24"/>
                <w:lang w:val="en-GB"/>
              </w:rPr>
              <w:t>p</w:t>
            </w:r>
            <w:r w:rsidRPr="008275EC">
              <w:rPr>
                <w:rFonts w:eastAsia="Calibri"/>
                <w:b/>
                <w:bCs/>
                <w:szCs w:val="24"/>
                <w:lang w:val="el-GR"/>
              </w:rPr>
              <w:t>-</w:t>
            </w:r>
            <w:r w:rsidRPr="008275EC">
              <w:rPr>
                <w:rFonts w:eastAsia="Calibri"/>
                <w:b/>
                <w:bCs/>
                <w:szCs w:val="24"/>
                <w:lang w:val="en-GB"/>
              </w:rPr>
              <w:t>value</w:t>
            </w:r>
            <w:r w:rsidRPr="008275EC">
              <w:rPr>
                <w:rFonts w:eastAsia="Calibri"/>
                <w:b/>
                <w:bCs/>
                <w:szCs w:val="24"/>
                <w:lang w:val="el-GR"/>
              </w:rPr>
              <w:t>):</w:t>
            </w:r>
          </w:p>
          <w:p w14:paraId="5855D4A5" w14:textId="77777777" w:rsidR="00DF7258"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p>
          <w:p w14:paraId="6FCBA4D1" w14:textId="77777777" w:rsidR="00DF7258" w:rsidRPr="008275EC"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8275EC">
              <w:rPr>
                <w:rFonts w:eastAsia="Calibri"/>
                <w:szCs w:val="24"/>
                <w:lang w:val="el-GR"/>
              </w:rPr>
              <w:t>0,671</w:t>
            </w:r>
          </w:p>
          <w:p w14:paraId="727ECED3" w14:textId="77777777" w:rsidR="00DF7258" w:rsidRPr="008275EC"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8275EC">
              <w:rPr>
                <w:rFonts w:eastAsia="Calibri"/>
                <w:szCs w:val="24"/>
                <w:lang w:val="el-GR"/>
              </w:rPr>
              <w:t>0,910</w:t>
            </w:r>
          </w:p>
          <w:p w14:paraId="05D159E2" w14:textId="77777777" w:rsidR="00DF7258" w:rsidRPr="008275EC"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8275EC">
              <w:rPr>
                <w:rFonts w:eastAsia="Calibri"/>
                <w:szCs w:val="24"/>
                <w:lang w:val="el-GR"/>
              </w:rPr>
              <w:t>0,928</w:t>
            </w:r>
          </w:p>
          <w:p w14:paraId="4B71F5DD" w14:textId="7B1AE909" w:rsidR="00DF7258" w:rsidRPr="008275EC"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8275EC">
              <w:rPr>
                <w:rFonts w:eastAsia="Calibri"/>
                <w:szCs w:val="24"/>
                <w:lang w:val="el-GR"/>
              </w:rPr>
              <w:t>0,022</w:t>
            </w:r>
            <w:r>
              <w:rPr>
                <w:rFonts w:eastAsia="Calibri"/>
                <w:szCs w:val="24"/>
                <w:lang w:val="el-GR"/>
              </w:rPr>
              <w:t>*</w:t>
            </w:r>
          </w:p>
          <w:p w14:paraId="6DF1F30D" w14:textId="77777777" w:rsidR="00DF7258" w:rsidRPr="008275EC"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8275EC">
              <w:rPr>
                <w:rFonts w:eastAsia="Calibri"/>
                <w:szCs w:val="24"/>
                <w:lang w:val="el-GR"/>
              </w:rPr>
              <w:t>0,905</w:t>
            </w:r>
          </w:p>
          <w:p w14:paraId="76063CC5" w14:textId="77777777" w:rsidR="00DF7258" w:rsidRPr="008275EC"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8275EC">
              <w:rPr>
                <w:rFonts w:eastAsia="Calibri"/>
                <w:szCs w:val="24"/>
                <w:lang w:val="el-GR"/>
              </w:rPr>
              <w:t>0,606</w:t>
            </w:r>
          </w:p>
          <w:p w14:paraId="685645EE" w14:textId="77777777" w:rsidR="00DF7258" w:rsidRPr="008275EC"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8275EC">
              <w:rPr>
                <w:rFonts w:eastAsia="Calibri"/>
                <w:szCs w:val="24"/>
                <w:lang w:val="el-GR"/>
              </w:rPr>
              <w:t>0,959</w:t>
            </w:r>
          </w:p>
          <w:p w14:paraId="50C598BF" w14:textId="77777777" w:rsidR="00DF7258" w:rsidRPr="008275EC"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8275EC">
              <w:rPr>
                <w:rFonts w:eastAsia="Calibri"/>
                <w:szCs w:val="24"/>
                <w:lang w:val="el-GR"/>
              </w:rPr>
              <w:t>0,835</w:t>
            </w:r>
          </w:p>
          <w:p w14:paraId="618E8CA1" w14:textId="6C1ECBCF" w:rsidR="006D550B" w:rsidRPr="008275EC" w:rsidRDefault="00DF7258" w:rsidP="00DF725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8275EC">
              <w:rPr>
                <w:rFonts w:eastAsia="Calibri"/>
                <w:szCs w:val="24"/>
                <w:lang w:val="el-GR"/>
              </w:rPr>
              <w:t>0,007</w:t>
            </w:r>
            <w:r>
              <w:rPr>
                <w:rFonts w:eastAsia="Calibri"/>
                <w:szCs w:val="24"/>
                <w:lang w:val="el-GR"/>
              </w:rPr>
              <w:t>**</w:t>
            </w:r>
          </w:p>
        </w:tc>
      </w:tr>
      <w:bookmarkEnd w:id="88"/>
      <w:bookmarkEnd w:id="90"/>
    </w:tbl>
    <w:p w14:paraId="1EA9A5DE"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36FCDF44" w14:textId="77777777" w:rsidR="00DF7258" w:rsidRDefault="008275EC" w:rsidP="00DF7258">
      <w:pPr>
        <w:pBdr>
          <w:top w:val="nil"/>
          <w:left w:val="nil"/>
          <w:bottom w:val="nil"/>
          <w:right w:val="nil"/>
          <w:between w:val="nil"/>
          <w:bar w:val="nil"/>
        </w:pBdr>
        <w:spacing w:before="200" w:after="200"/>
        <w:ind w:firstLine="709"/>
        <w:rPr>
          <w:rFonts w:eastAsia="Calibri"/>
          <w:szCs w:val="24"/>
          <w:lang w:val="el-GR"/>
        </w:rPr>
      </w:pPr>
      <w:bookmarkStart w:id="92" w:name="_Hlk85196444"/>
      <w:r w:rsidRPr="008275EC">
        <w:rPr>
          <w:rFonts w:eastAsia="Calibri"/>
          <w:szCs w:val="24"/>
          <w:lang w:val="el-GR"/>
        </w:rPr>
        <w:t xml:space="preserve">Η μεταβλητή R εκφράζει τη σχέση και τη συσχέτιση μεταξύ της εξαρτημένης μεταβλητής και των ανεξάρτητων μεταβλητών. </w:t>
      </w:r>
      <w:bookmarkStart w:id="93" w:name="_Hlk85187593"/>
      <w:r w:rsidRPr="008275EC">
        <w:rPr>
          <w:rFonts w:eastAsia="Calibri"/>
          <w:szCs w:val="24"/>
          <w:lang w:val="el-GR"/>
        </w:rPr>
        <w:t>Στην περίπτωση αυτή</w:t>
      </w:r>
      <w:bookmarkEnd w:id="93"/>
      <w:r w:rsidRPr="008275EC">
        <w:rPr>
          <w:rFonts w:eastAsia="Calibri"/>
          <w:szCs w:val="24"/>
          <w:lang w:val="el-GR"/>
        </w:rPr>
        <w:t xml:space="preserve">, εκφράζει τη σχέση μεταξύ της </w:t>
      </w:r>
      <w:r w:rsidRPr="008275EC">
        <w:rPr>
          <w:rFonts w:eastAsia="Calibri"/>
          <w:szCs w:val="24"/>
        </w:rPr>
        <w:t>SP</w:t>
      </w:r>
      <w:r w:rsidRPr="008275EC">
        <w:rPr>
          <w:rFonts w:eastAsia="Calibri"/>
          <w:szCs w:val="24"/>
          <w:lang w:val="el-GR"/>
        </w:rPr>
        <w:t xml:space="preserve">, με τις </w:t>
      </w:r>
      <w:bookmarkStart w:id="94" w:name="_Hlk85187732"/>
      <w:r w:rsidRPr="008275EC">
        <w:rPr>
          <w:rFonts w:eastAsia="Calibri"/>
          <w:szCs w:val="24"/>
        </w:rPr>
        <w:t>NI</w:t>
      </w:r>
      <w:r w:rsidRPr="008275EC">
        <w:rPr>
          <w:rFonts w:eastAsia="Calibri"/>
          <w:szCs w:val="24"/>
          <w:lang w:val="el-GR"/>
        </w:rPr>
        <w:t xml:space="preserve">, </w:t>
      </w:r>
      <w:r w:rsidRPr="008275EC">
        <w:rPr>
          <w:rFonts w:eastAsia="Calibri"/>
          <w:szCs w:val="24"/>
        </w:rPr>
        <w:t>ROA</w:t>
      </w:r>
      <w:r w:rsidRPr="008275EC">
        <w:rPr>
          <w:rFonts w:eastAsia="Calibri"/>
          <w:szCs w:val="24"/>
          <w:lang w:val="el-GR"/>
        </w:rPr>
        <w:t xml:space="preserve">, </w:t>
      </w:r>
      <w:r w:rsidRPr="008275EC">
        <w:rPr>
          <w:rFonts w:eastAsia="Calibri"/>
          <w:szCs w:val="24"/>
        </w:rPr>
        <w:t>ROE</w:t>
      </w:r>
      <w:r w:rsidRPr="008275EC">
        <w:rPr>
          <w:rFonts w:eastAsia="Calibri"/>
          <w:szCs w:val="24"/>
          <w:lang w:val="el-GR"/>
        </w:rPr>
        <w:t xml:space="preserve">, </w:t>
      </w:r>
      <w:r w:rsidRPr="008275EC">
        <w:rPr>
          <w:rFonts w:eastAsia="Calibri"/>
          <w:szCs w:val="24"/>
        </w:rPr>
        <w:t>EPS</w:t>
      </w:r>
      <w:r w:rsidRPr="008275EC">
        <w:rPr>
          <w:rFonts w:eastAsia="Calibri"/>
          <w:szCs w:val="24"/>
          <w:lang w:val="el-GR"/>
        </w:rPr>
        <w:t xml:space="preserve">, </w:t>
      </w:r>
      <w:r w:rsidRPr="008275EC">
        <w:rPr>
          <w:rFonts w:eastAsia="Calibri"/>
          <w:szCs w:val="24"/>
        </w:rPr>
        <w:t>IRR</w:t>
      </w:r>
      <w:r w:rsidRPr="008275EC">
        <w:rPr>
          <w:rFonts w:eastAsia="Calibri"/>
          <w:szCs w:val="24"/>
          <w:lang w:val="el-GR"/>
        </w:rPr>
        <w:t xml:space="preserve">, </w:t>
      </w:r>
      <w:r w:rsidRPr="008275EC">
        <w:rPr>
          <w:rFonts w:eastAsia="Calibri"/>
          <w:szCs w:val="24"/>
        </w:rPr>
        <w:t>CR</w:t>
      </w:r>
      <w:r w:rsidRPr="008275EC">
        <w:rPr>
          <w:rFonts w:eastAsia="Calibri"/>
          <w:szCs w:val="24"/>
          <w:lang w:val="el-GR"/>
        </w:rPr>
        <w:t xml:space="preserve">, </w:t>
      </w:r>
      <w:r w:rsidRPr="008275EC">
        <w:rPr>
          <w:rFonts w:eastAsia="Calibri"/>
          <w:szCs w:val="24"/>
        </w:rPr>
        <w:t>SR</w:t>
      </w:r>
      <w:r w:rsidRPr="008275EC">
        <w:rPr>
          <w:rFonts w:eastAsia="Calibri"/>
          <w:szCs w:val="24"/>
          <w:lang w:val="el-GR"/>
        </w:rPr>
        <w:t xml:space="preserve"> και </w:t>
      </w:r>
      <w:r w:rsidRPr="008275EC">
        <w:rPr>
          <w:rFonts w:eastAsia="Calibri"/>
          <w:szCs w:val="24"/>
        </w:rPr>
        <w:t>LR</w:t>
      </w:r>
      <w:bookmarkEnd w:id="94"/>
      <w:r w:rsidRPr="008275EC">
        <w:rPr>
          <w:rFonts w:eastAsia="Calibri"/>
          <w:szCs w:val="24"/>
          <w:lang w:val="el-GR"/>
        </w:rPr>
        <w:t xml:space="preserve">. Για τη στατιστική μεταβλητή </w:t>
      </w:r>
      <w:r w:rsidRPr="008275EC">
        <w:rPr>
          <w:rFonts w:eastAsia="Calibri"/>
          <w:szCs w:val="24"/>
        </w:rPr>
        <w:t>R</w:t>
      </w:r>
      <w:r w:rsidRPr="008275EC">
        <w:rPr>
          <w:rFonts w:eastAsia="Calibri"/>
          <w:szCs w:val="24"/>
          <w:lang w:val="el-GR"/>
        </w:rPr>
        <w:t xml:space="preserve"> μια αποδεκτή τιμή είναι μια τιμή μεγαλύτερη από 0,40, μια τιμή που είναι πλησιέστερη στο 1 δείχνει τέλεια συσχέτιση, ενώ μια τιμή που είναι πλησιέστερη στο 0 δεν δείχνει συσχέτιση (μηδενική συσχέτιση). Στην περίπτωση αυτή, η τιμή του R είναι R=0,408, πράγμα που σημαίνει </w:t>
      </w:r>
      <w:r w:rsidRPr="008275EC">
        <w:rPr>
          <w:rFonts w:eastAsia="Calibri"/>
          <w:szCs w:val="24"/>
          <w:lang w:val="el-GR"/>
        </w:rPr>
        <w:lastRenderedPageBreak/>
        <w:t xml:space="preserve">ότι υπάρχει μια αποδεκτή, αδύναμη σχέση και συσχέτιση μεταξύ της εξαρτημένης μεταβλητής </w:t>
      </w:r>
      <w:r w:rsidRPr="008275EC">
        <w:rPr>
          <w:rFonts w:eastAsia="Calibri"/>
          <w:szCs w:val="24"/>
        </w:rPr>
        <w:t>SP</w:t>
      </w:r>
      <w:r w:rsidRPr="008275EC">
        <w:rPr>
          <w:rFonts w:eastAsia="Calibri"/>
          <w:szCs w:val="24"/>
          <w:lang w:val="el-GR"/>
        </w:rPr>
        <w:t xml:space="preserve"> με τις </w:t>
      </w:r>
      <w:bookmarkStart w:id="95" w:name="_Hlk85188171"/>
      <w:r w:rsidRPr="008275EC">
        <w:rPr>
          <w:rFonts w:eastAsia="Calibri"/>
          <w:szCs w:val="24"/>
          <w:lang w:val="el-GR"/>
        </w:rPr>
        <w:t xml:space="preserve">ανεξάρτητες μεταβλητές </w:t>
      </w:r>
      <w:r w:rsidRPr="008275EC">
        <w:rPr>
          <w:rFonts w:eastAsia="Calibri"/>
          <w:szCs w:val="24"/>
        </w:rPr>
        <w:t>NI</w:t>
      </w:r>
      <w:r w:rsidRPr="008275EC">
        <w:rPr>
          <w:rFonts w:eastAsia="Calibri"/>
          <w:szCs w:val="24"/>
          <w:lang w:val="el-GR"/>
        </w:rPr>
        <w:t>, ROA, ROE, EPS, IRR, CR, SR και LR.</w:t>
      </w:r>
      <w:bookmarkEnd w:id="95"/>
    </w:p>
    <w:p w14:paraId="6CFE8400" w14:textId="77777777" w:rsidR="00DF7258" w:rsidRDefault="008275EC" w:rsidP="00DF7258">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Η </w:t>
      </w:r>
      <w:bookmarkStart w:id="96" w:name="_Hlk85188600"/>
      <w:r w:rsidRPr="008275EC">
        <w:rPr>
          <w:rFonts w:eastAsia="Calibri"/>
          <w:szCs w:val="24"/>
          <w:lang w:val="el-GR"/>
        </w:rPr>
        <w:t xml:space="preserve">μεταβλητή </w:t>
      </w:r>
      <w:bookmarkStart w:id="97" w:name="_Hlk85187993"/>
      <w:r w:rsidRPr="008275EC">
        <w:rPr>
          <w:rFonts w:eastAsia="Calibri"/>
          <w:szCs w:val="24"/>
          <w:lang w:val="el-GR"/>
        </w:rPr>
        <w:t>R</w:t>
      </w:r>
      <w:r w:rsidRPr="008275EC">
        <w:rPr>
          <w:rFonts w:eastAsia="Calibri"/>
          <w:szCs w:val="24"/>
          <w:vertAlign w:val="superscript"/>
          <w:lang w:val="el-GR"/>
        </w:rPr>
        <w:t>2</w:t>
      </w:r>
      <w:bookmarkEnd w:id="97"/>
      <w:r w:rsidRPr="008275EC">
        <w:rPr>
          <w:rFonts w:eastAsia="Calibri"/>
          <w:szCs w:val="24"/>
          <w:lang w:val="el-GR"/>
        </w:rPr>
        <w:t xml:space="preserve"> </w:t>
      </w:r>
      <w:bookmarkEnd w:id="96"/>
      <w:r w:rsidRPr="008275EC">
        <w:rPr>
          <w:rFonts w:eastAsia="Calibri"/>
          <w:szCs w:val="24"/>
          <w:lang w:val="el-GR"/>
        </w:rPr>
        <w:t>εκφράζει τη συνολική μεταβολή της εξαρτημένης μεταβλητής που θα μπορούσε να εξηγηθεί από τις ανεξάρτητες μεταβλητές. Μια αποδεκτή τιμή για τη στατιστική μεταβλητή R</w:t>
      </w:r>
      <w:r w:rsidRPr="008275EC">
        <w:rPr>
          <w:rFonts w:eastAsia="Calibri"/>
          <w:szCs w:val="24"/>
          <w:vertAlign w:val="superscript"/>
          <w:lang w:val="el-GR"/>
        </w:rPr>
        <w:t>2</w:t>
      </w:r>
      <w:r w:rsidRPr="008275EC">
        <w:rPr>
          <w:rFonts w:eastAsia="Calibri"/>
          <w:szCs w:val="24"/>
          <w:lang w:val="el-GR"/>
        </w:rPr>
        <w:t xml:space="preserve"> είναι μια τιμή μεγαλύτερη από 0,50, η οποία υποδηλώνει ότι το μοντέλο είναι αρκετά αποτελεσματικό για να καθορίσει τη σχέση μεταξύ των μεταβλητών (εξαρτημένων με ανεξάρτητων). Στην περίπτωση αυτή, η </w:t>
      </w:r>
      <w:bookmarkStart w:id="98" w:name="_Hlk85188097"/>
      <w:r w:rsidRPr="008275EC">
        <w:rPr>
          <w:rFonts w:eastAsia="Calibri"/>
          <w:szCs w:val="24"/>
          <w:lang w:val="el-GR"/>
        </w:rPr>
        <w:t>R</w:t>
      </w:r>
      <w:r w:rsidRPr="008275EC">
        <w:rPr>
          <w:rFonts w:eastAsia="Calibri"/>
          <w:szCs w:val="24"/>
          <w:vertAlign w:val="superscript"/>
          <w:lang w:val="el-GR"/>
        </w:rPr>
        <w:t>2</w:t>
      </w:r>
      <w:r w:rsidRPr="008275EC">
        <w:rPr>
          <w:rFonts w:eastAsia="Calibri"/>
          <w:szCs w:val="24"/>
          <w:lang w:val="el-GR"/>
        </w:rPr>
        <w:t xml:space="preserve"> </w:t>
      </w:r>
      <w:bookmarkEnd w:id="98"/>
      <w:r w:rsidRPr="008275EC">
        <w:rPr>
          <w:rFonts w:eastAsia="Calibri"/>
          <w:szCs w:val="24"/>
          <w:lang w:val="el-GR"/>
        </w:rPr>
        <w:t>είναι R</w:t>
      </w:r>
      <w:r w:rsidRPr="008275EC">
        <w:rPr>
          <w:rFonts w:eastAsia="Calibri"/>
          <w:szCs w:val="24"/>
          <w:vertAlign w:val="superscript"/>
          <w:lang w:val="el-GR"/>
        </w:rPr>
        <w:t>2</w:t>
      </w:r>
      <w:r w:rsidRPr="008275EC">
        <w:rPr>
          <w:rFonts w:eastAsia="Calibri"/>
          <w:szCs w:val="24"/>
          <w:lang w:val="el-GR"/>
        </w:rPr>
        <w:t xml:space="preserve">=0,167. Η χαμηλή τιμή της μεταβλητής δηλώνει ότι οι μεταβολές της εξαρτημένης μεταβλητής </w:t>
      </w:r>
      <w:r w:rsidRPr="008275EC">
        <w:rPr>
          <w:rFonts w:eastAsia="Calibri"/>
          <w:szCs w:val="24"/>
        </w:rPr>
        <w:t>SP</w:t>
      </w:r>
      <w:r w:rsidRPr="008275EC">
        <w:rPr>
          <w:rFonts w:eastAsia="Calibri"/>
          <w:szCs w:val="24"/>
          <w:lang w:val="el-GR"/>
        </w:rPr>
        <w:t xml:space="preserve"> δεν μπορούν να εξηγηθεί από τις μεταβολές των ανεξάρτητων μεταβλητών NI, ROA, ROE, EPS, IRR, CR, SR και LR. Η </w:t>
      </w:r>
      <w:bookmarkStart w:id="99" w:name="_Hlk85188645"/>
      <w:r w:rsidRPr="008275EC">
        <w:rPr>
          <w:rFonts w:eastAsia="Calibri"/>
          <w:szCs w:val="24"/>
          <w:lang w:val="el-GR"/>
        </w:rPr>
        <w:t>μεταβλητή προσαρμοσμένο R</w:t>
      </w:r>
      <w:r w:rsidRPr="008275EC">
        <w:rPr>
          <w:rFonts w:eastAsia="Calibri"/>
          <w:szCs w:val="24"/>
          <w:vertAlign w:val="superscript"/>
          <w:lang w:val="el-GR"/>
        </w:rPr>
        <w:t>2</w:t>
      </w:r>
      <w:r w:rsidRPr="008275EC">
        <w:rPr>
          <w:rFonts w:eastAsia="Calibri"/>
          <w:szCs w:val="24"/>
          <w:lang w:val="el-GR"/>
        </w:rPr>
        <w:t xml:space="preserve"> </w:t>
      </w:r>
      <w:bookmarkEnd w:id="99"/>
      <w:r w:rsidRPr="008275EC">
        <w:rPr>
          <w:rFonts w:eastAsia="Calibri"/>
          <w:szCs w:val="24"/>
          <w:lang w:val="el-GR"/>
        </w:rPr>
        <w:t>εκφράζει το κατά πόσο τα αποτελέσματα της γραμμικής ανάλυσης παλινδρόμησης μπορούν να γενικευτούν στον γενικό πληθυσμό. Όταν η μεταβλητή R</w:t>
      </w:r>
      <w:r w:rsidRPr="008275EC">
        <w:rPr>
          <w:rFonts w:eastAsia="Calibri"/>
          <w:szCs w:val="24"/>
          <w:vertAlign w:val="superscript"/>
          <w:lang w:val="el-GR"/>
        </w:rPr>
        <w:t>2</w:t>
      </w:r>
      <w:r w:rsidRPr="008275EC">
        <w:rPr>
          <w:rFonts w:eastAsia="Calibri"/>
          <w:szCs w:val="24"/>
          <w:lang w:val="el-GR"/>
        </w:rPr>
        <w:t xml:space="preserve"> και η μεταβλητή προσαρμοσμένο R</w:t>
      </w:r>
      <w:r w:rsidRPr="008275EC">
        <w:rPr>
          <w:rFonts w:eastAsia="Calibri"/>
          <w:szCs w:val="24"/>
          <w:vertAlign w:val="superscript"/>
          <w:lang w:val="el-GR"/>
        </w:rPr>
        <w:t>2</w:t>
      </w:r>
      <w:r w:rsidRPr="008275EC">
        <w:rPr>
          <w:rFonts w:eastAsia="Calibri"/>
          <w:szCs w:val="24"/>
          <w:lang w:val="el-GR"/>
        </w:rPr>
        <w:t xml:space="preserve"> έχουν παρόμοιες τιμές, τότε τα αποτελέσματα της ανάλυσης μπορούν να γενικευτούν και να αντιπροσωπεύσουν τον γενικό πληθυσμό, και όχι μόνο το δείγμα της ανάλυσης. Στην περίπτωση αυτή, η μεταβλητή προσαρμοσμένο R</w:t>
      </w:r>
      <w:r w:rsidRPr="008275EC">
        <w:rPr>
          <w:rFonts w:eastAsia="Calibri"/>
          <w:szCs w:val="24"/>
          <w:vertAlign w:val="superscript"/>
          <w:lang w:val="el-GR"/>
        </w:rPr>
        <w:t>2</w:t>
      </w:r>
      <w:r w:rsidRPr="008275EC">
        <w:rPr>
          <w:rFonts w:eastAsia="Calibri"/>
          <w:szCs w:val="24"/>
          <w:lang w:val="el-GR"/>
        </w:rPr>
        <w:t xml:space="preserve"> έχει τιμή Προσαρμοσμένο R</w:t>
      </w:r>
      <w:r w:rsidRPr="008275EC">
        <w:rPr>
          <w:rFonts w:eastAsia="Calibri"/>
          <w:szCs w:val="24"/>
          <w:vertAlign w:val="superscript"/>
          <w:lang w:val="el-GR"/>
        </w:rPr>
        <w:t>2</w:t>
      </w:r>
      <w:r w:rsidRPr="008275EC">
        <w:rPr>
          <w:rFonts w:eastAsia="Calibri"/>
          <w:szCs w:val="24"/>
          <w:lang w:val="el-GR"/>
        </w:rPr>
        <w:t>=0,036, διαφορετική τιμή από τη μεταβλητή R</w:t>
      </w:r>
      <w:r w:rsidRPr="008275EC">
        <w:rPr>
          <w:rFonts w:eastAsia="Calibri"/>
          <w:szCs w:val="24"/>
          <w:vertAlign w:val="superscript"/>
          <w:lang w:val="el-GR"/>
        </w:rPr>
        <w:t>2</w:t>
      </w:r>
      <w:r w:rsidRPr="008275EC">
        <w:rPr>
          <w:rFonts w:eastAsia="Calibri"/>
          <w:szCs w:val="24"/>
          <w:lang w:val="el-GR"/>
        </w:rPr>
        <w:t xml:space="preserve"> (R</w:t>
      </w:r>
      <w:r w:rsidRPr="008275EC">
        <w:rPr>
          <w:rFonts w:eastAsia="Calibri"/>
          <w:szCs w:val="24"/>
          <w:vertAlign w:val="superscript"/>
          <w:lang w:val="el-GR"/>
        </w:rPr>
        <w:t>2</w:t>
      </w:r>
      <w:r w:rsidRPr="008275EC">
        <w:rPr>
          <w:rFonts w:eastAsia="Calibri"/>
          <w:szCs w:val="24"/>
          <w:lang w:val="el-GR"/>
        </w:rPr>
        <w:t>=0,167). Η διαφορά των δύο τιμών δηλώνει ότι τα αποτελέσματα της εν λόγω γραμμικής ανάλυσης παλινδρόμησης δεν αντιπροσωπεύουν τον γενικό πληθυσμό.</w:t>
      </w:r>
    </w:p>
    <w:p w14:paraId="1C496957" w14:textId="77777777" w:rsidR="00510D7C" w:rsidRDefault="008275EC" w:rsidP="00510D7C">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Η συνολική τιμή σημαντικότητας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του μοντέλου βρέθηκε ότι είναι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=0,277</w:t>
      </w:r>
      <w:r w:rsidRPr="008275EC">
        <w:rPr>
          <w:rFonts w:eastAsia="Calibri"/>
          <w:szCs w:val="24"/>
          <w:vertAlign w:val="superscript"/>
          <w:lang w:val="el-GR"/>
        </w:rPr>
        <w:footnoteReference w:id="17"/>
      </w:r>
      <w:r w:rsidRPr="008275EC">
        <w:rPr>
          <w:rFonts w:eastAsia="Calibri"/>
          <w:szCs w:val="24"/>
          <w:lang w:val="el-GR"/>
        </w:rPr>
        <w:t xml:space="preserve">. Όπως αναφέρθηκε παραπάνω το επίπεδο σημαντικότητας είναι 95%, άρα το επιτρεπτό επίπεδο εμπιστοσύνης είναι α=0,05. Στην περίπτωση αυτή η αξία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είναι μεγαλύτερη από το α (0,277 &gt; 0,05), δηλώνοντας ότι τα αποτελέσματα της γραμμικής ανάλυσης δεν είναι στατιστικά σημαντικά. </w:t>
      </w:r>
      <w:bookmarkEnd w:id="92"/>
    </w:p>
    <w:p w14:paraId="79C0E3CD" w14:textId="1C379B31" w:rsidR="008275EC" w:rsidRPr="008275EC" w:rsidRDefault="008275EC" w:rsidP="00510D7C">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Ακολούθως, από ότι φαίνεται από την παραπάνω γραμμική σχέση:</w:t>
      </w:r>
    </w:p>
    <w:p w14:paraId="77F03B10" w14:textId="77777777" w:rsidR="008275EC" w:rsidRPr="008275EC" w:rsidRDefault="008275EC" w:rsidP="00E36C0B">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Εάν τα καθαρά κέρδη/ ζημιές αυξηθούν κατά 1 μονάδα, τότε η τιμή της  μετοχής θα αυξηθεί κατά 0,023 (θετική σχέση). </w:t>
      </w:r>
      <w:bookmarkStart w:id="100" w:name="_Hlk85143835"/>
      <w:r w:rsidRPr="008275EC">
        <w:rPr>
          <w:rFonts w:eastAsia="Calibri"/>
          <w:szCs w:val="24"/>
          <w:lang w:val="el-GR"/>
        </w:rPr>
        <w:t>Όμως, η σχέση δεν είναι στατιστικά σημαντική (</w:t>
      </w:r>
      <w:r w:rsidRPr="008275EC">
        <w:rPr>
          <w:rFonts w:eastAsia="Calibri"/>
          <w:szCs w:val="24"/>
        </w:rPr>
        <w:t>p-value = 0,</w:t>
      </w:r>
      <w:r w:rsidRPr="008275EC">
        <w:rPr>
          <w:rFonts w:eastAsia="Calibri"/>
          <w:szCs w:val="24"/>
          <w:lang w:val="el-GR"/>
        </w:rPr>
        <w:t>9</w:t>
      </w:r>
      <w:r w:rsidRPr="008275EC">
        <w:rPr>
          <w:rFonts w:eastAsia="Calibri"/>
          <w:szCs w:val="24"/>
        </w:rPr>
        <w:t>1</w:t>
      </w:r>
      <w:r w:rsidRPr="008275EC">
        <w:rPr>
          <w:rFonts w:eastAsia="Calibri"/>
          <w:szCs w:val="24"/>
          <w:lang w:val="el-GR"/>
        </w:rPr>
        <w:t xml:space="preserve"> &gt; 0,05).</w:t>
      </w:r>
    </w:p>
    <w:p w14:paraId="5616BDF0" w14:textId="77777777" w:rsidR="008275EC" w:rsidRPr="008275EC" w:rsidRDefault="008275EC" w:rsidP="00E36C0B">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lastRenderedPageBreak/>
        <w:t xml:space="preserve">Εάν ο δείκτης </w:t>
      </w:r>
      <w:r w:rsidRPr="008275EC">
        <w:rPr>
          <w:rFonts w:eastAsia="Calibri"/>
          <w:szCs w:val="24"/>
        </w:rPr>
        <w:t>ROA</w:t>
      </w:r>
      <w:r w:rsidRPr="008275EC">
        <w:rPr>
          <w:rFonts w:eastAsia="Calibri"/>
          <w:szCs w:val="24"/>
          <w:lang w:val="el-GR"/>
        </w:rPr>
        <w:t xml:space="preserve"> αυξηθεί κατά 1 μονάδα, η τιμή της μετοχής θα </w:t>
      </w:r>
      <w:bookmarkStart w:id="101" w:name="_Hlk85143919"/>
      <w:r w:rsidRPr="008275EC">
        <w:rPr>
          <w:rFonts w:eastAsia="Calibri"/>
          <w:szCs w:val="24"/>
          <w:lang w:val="el-GR"/>
        </w:rPr>
        <w:t xml:space="preserve">μειωθεί κατά 0,015 (αρνητική σχέση). </w:t>
      </w:r>
      <w:bookmarkEnd w:id="100"/>
      <w:bookmarkEnd w:id="101"/>
      <w:r w:rsidRPr="008275EC">
        <w:rPr>
          <w:rFonts w:eastAsia="Calibri"/>
          <w:szCs w:val="24"/>
          <w:lang w:val="el-GR"/>
        </w:rPr>
        <w:t>Όμως, η σχέση δεν είναι στατιστικά σημαντική (</w:t>
      </w:r>
      <w:r w:rsidRPr="008275EC">
        <w:rPr>
          <w:rFonts w:eastAsia="Calibri"/>
          <w:szCs w:val="24"/>
        </w:rPr>
        <w:t>p-value = 0,</w:t>
      </w:r>
      <w:r w:rsidRPr="008275EC">
        <w:rPr>
          <w:rFonts w:eastAsia="Calibri"/>
          <w:szCs w:val="24"/>
          <w:lang w:val="el-GR"/>
        </w:rPr>
        <w:t>928 &gt; 0,05).</w:t>
      </w:r>
    </w:p>
    <w:p w14:paraId="41817408" w14:textId="77777777" w:rsidR="008275EC" w:rsidRPr="008275EC" w:rsidRDefault="008275EC" w:rsidP="00E36C0B">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Εάν ο δείκτης RO</w:t>
      </w:r>
      <w:r w:rsidRPr="008275EC">
        <w:rPr>
          <w:rFonts w:eastAsia="Calibri"/>
          <w:szCs w:val="24"/>
        </w:rPr>
        <w:t>E</w:t>
      </w:r>
      <w:r w:rsidRPr="008275EC">
        <w:rPr>
          <w:rFonts w:eastAsia="Calibri"/>
          <w:szCs w:val="24"/>
          <w:lang w:val="el-GR"/>
        </w:rPr>
        <w:t xml:space="preserve"> αυξηθεί κατά 1 μονάδα, η τιμή της μετοχής θα </w:t>
      </w:r>
      <w:bookmarkStart w:id="102" w:name="_Hlk85143954"/>
      <w:r w:rsidRPr="008275EC">
        <w:rPr>
          <w:rFonts w:eastAsia="Calibri"/>
          <w:szCs w:val="24"/>
          <w:lang w:val="el-GR"/>
        </w:rPr>
        <w:t>αυξηθεί κατά 0,003 (θετική σχέση). Η σχέση είναι στατιστικά σημαντική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0,022 &lt; 0,05).</w:t>
      </w:r>
    </w:p>
    <w:p w14:paraId="1E4D3A90" w14:textId="77777777" w:rsidR="008275EC" w:rsidRPr="008275EC" w:rsidRDefault="008275EC" w:rsidP="00E36C0B">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Εάν ο δείκτης EPS αυξηθεί κατά 1 μονάδα, η τιμή της μετοχής θα αυξηθεί κατά 0,0003 (σχεδόν μηδενική σχέση). Όμως, η σχέση δεν είναι στατιστικά σημαντική (</w:t>
      </w:r>
      <w:r w:rsidRPr="008275EC">
        <w:rPr>
          <w:rFonts w:eastAsia="Calibri"/>
          <w:szCs w:val="24"/>
        </w:rPr>
        <w:t>p-value = 0,</w:t>
      </w:r>
      <w:r w:rsidRPr="008275EC">
        <w:rPr>
          <w:rFonts w:eastAsia="Calibri"/>
          <w:szCs w:val="24"/>
          <w:lang w:val="el-GR"/>
        </w:rPr>
        <w:t>905 &gt; 0,05).</w:t>
      </w:r>
    </w:p>
    <w:p w14:paraId="13CC701F" w14:textId="77777777" w:rsidR="008275EC" w:rsidRPr="008275EC" w:rsidRDefault="008275EC" w:rsidP="00E36C0B">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Εάν ο κίνδυνος IRR αυξηθεί κατά 1 μονάδα, η τιμή της μετοχής θα μειωθεί κατά 0,903 (αρνητική σχέση). Όμως, η σχέση δεν είναι στατιστικά σημαντική (</w:t>
      </w:r>
      <w:r w:rsidRPr="008275EC">
        <w:rPr>
          <w:rFonts w:eastAsia="Calibri"/>
          <w:szCs w:val="24"/>
        </w:rPr>
        <w:t>p-value = 0,6</w:t>
      </w:r>
      <w:r w:rsidRPr="008275EC">
        <w:rPr>
          <w:rFonts w:eastAsia="Calibri"/>
          <w:szCs w:val="24"/>
          <w:lang w:val="el-GR"/>
        </w:rPr>
        <w:t>06 &gt; 0,05).</w:t>
      </w:r>
    </w:p>
    <w:p w14:paraId="24F60584" w14:textId="77777777" w:rsidR="008275EC" w:rsidRPr="008275EC" w:rsidRDefault="008275EC" w:rsidP="00E36C0B">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Εάν ο κίνδυνος CR αυξηθεί κατά 1 μονάδα, η τιμή της μετοχής θα αυξηθεί κατά 0,012 (θετική σχέση). Όμως, η σχέση δεν είναι στατιστικά σημαντική (</w:t>
      </w:r>
      <w:r w:rsidRPr="008275EC">
        <w:rPr>
          <w:rFonts w:eastAsia="Calibri"/>
          <w:szCs w:val="24"/>
        </w:rPr>
        <w:t>p-value = 0,</w:t>
      </w:r>
      <w:r w:rsidRPr="008275EC">
        <w:rPr>
          <w:rFonts w:eastAsia="Calibri"/>
          <w:szCs w:val="24"/>
          <w:lang w:val="el-GR"/>
        </w:rPr>
        <w:t>959 &gt; 0,05).</w:t>
      </w:r>
    </w:p>
    <w:p w14:paraId="0D3E71E5" w14:textId="77777777" w:rsidR="008275EC" w:rsidRPr="008275EC" w:rsidRDefault="008275EC" w:rsidP="00E36C0B">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Εάν ο κίνδυνος SR αυξηθεί κατά 1 μονάδα, η τιμή της μετοχής θα μειωθεί κατά 1,187 (αρνητική σχέση). Όμως, η σχέση δεν είναι στατιστικά σημαντική (</w:t>
      </w:r>
      <w:r w:rsidRPr="008275EC">
        <w:rPr>
          <w:rFonts w:eastAsia="Calibri"/>
          <w:szCs w:val="24"/>
        </w:rPr>
        <w:t>p-value = 0,</w:t>
      </w:r>
      <w:r w:rsidRPr="008275EC">
        <w:rPr>
          <w:rFonts w:eastAsia="Calibri"/>
          <w:szCs w:val="24"/>
          <w:lang w:val="el-GR"/>
        </w:rPr>
        <w:t>835 &gt; 0,05).</w:t>
      </w:r>
    </w:p>
    <w:p w14:paraId="2FA428F9" w14:textId="454C7320" w:rsidR="008275EC" w:rsidRPr="008275EC" w:rsidRDefault="008275EC" w:rsidP="00E36C0B">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Εάν ο κίνδυνος LR αυξηθεί κατά 1 μονάδα, η τιμή της μετοχής θα αυξηθεί κατά 0,206 (θετική σχέση). Η σχέση είναι στατιστικά σημαντική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0,007 &lt; 0,05).</w:t>
      </w:r>
      <w:r w:rsidR="00B56971">
        <w:rPr>
          <w:rFonts w:eastAsia="Calibri"/>
          <w:szCs w:val="24"/>
          <w:lang w:val="el-GR"/>
        </w:rPr>
        <w:t xml:space="preserve"> Η σχέση αυτή είναι στατιστικά σημαντική και σε επίπεδο εμπιστοσύνης 99% (</w:t>
      </w:r>
      <w:r w:rsidR="00B56971" w:rsidRPr="008275EC">
        <w:rPr>
          <w:rFonts w:eastAsia="Calibri"/>
          <w:szCs w:val="24"/>
        </w:rPr>
        <w:t>p</w:t>
      </w:r>
      <w:r w:rsidR="00B56971" w:rsidRPr="008275EC">
        <w:rPr>
          <w:rFonts w:eastAsia="Calibri"/>
          <w:szCs w:val="24"/>
          <w:lang w:val="el-GR"/>
        </w:rPr>
        <w:t>-</w:t>
      </w:r>
      <w:r w:rsidR="00B56971" w:rsidRPr="008275EC">
        <w:rPr>
          <w:rFonts w:eastAsia="Calibri"/>
          <w:szCs w:val="24"/>
        </w:rPr>
        <w:t>value</w:t>
      </w:r>
      <w:r w:rsidR="00B56971" w:rsidRPr="008275EC">
        <w:rPr>
          <w:rFonts w:eastAsia="Calibri"/>
          <w:szCs w:val="24"/>
          <w:lang w:val="el-GR"/>
        </w:rPr>
        <w:t xml:space="preserve"> = 0,007 &lt; 0,0</w:t>
      </w:r>
      <w:r w:rsidR="00B56971">
        <w:rPr>
          <w:rFonts w:eastAsia="Calibri"/>
          <w:szCs w:val="24"/>
          <w:lang w:val="el-GR"/>
        </w:rPr>
        <w:t>1).</w:t>
      </w:r>
    </w:p>
    <w:p w14:paraId="47C49693" w14:textId="77777777" w:rsidR="008275EC" w:rsidRPr="008275EC" w:rsidRDefault="008275EC" w:rsidP="00E36C0B">
      <w:pPr>
        <w:pBdr>
          <w:top w:val="nil"/>
          <w:left w:val="nil"/>
          <w:bottom w:val="nil"/>
          <w:right w:val="nil"/>
          <w:between w:val="nil"/>
          <w:bar w:val="nil"/>
        </w:pBdr>
        <w:spacing w:before="200" w:after="200"/>
        <w:ind w:firstLine="0"/>
        <w:rPr>
          <w:rFonts w:eastAsia="Calibri"/>
          <w:szCs w:val="24"/>
          <w:lang w:val="el-GR"/>
        </w:rPr>
      </w:pPr>
      <w:r w:rsidRPr="008275EC">
        <w:rPr>
          <w:rFonts w:eastAsia="Calibri"/>
          <w:szCs w:val="24"/>
          <w:lang w:val="el-GR"/>
        </w:rPr>
        <w:t xml:space="preserve">  </w:t>
      </w:r>
      <w:bookmarkEnd w:id="102"/>
      <w:r w:rsidRPr="008275EC">
        <w:rPr>
          <w:rFonts w:eastAsia="Calibri"/>
          <w:szCs w:val="24"/>
          <w:lang w:val="el-GR"/>
        </w:rPr>
        <w:t xml:space="preserve"> </w:t>
      </w:r>
    </w:p>
    <w:p w14:paraId="7894E80D" w14:textId="77777777" w:rsidR="00921AD8" w:rsidRDefault="008275EC" w:rsidP="00921AD8">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Παρόλο που τα γενικά αποτελέσματα δεν είναι στατιστικά σημαντικά, μεμονωμένες ανεξάρτητες μεταβλητές του δείγματος έχουν στατιστική σημαντικότητα για την εξαρτημένη μεταβλητή. Αυτό μπορούσαμε να το καταλάβουμε και από την τιμή του </w:t>
      </w:r>
      <w:r w:rsidRPr="008275EC">
        <w:rPr>
          <w:rFonts w:eastAsia="Calibri"/>
          <w:szCs w:val="24"/>
        </w:rPr>
        <w:t>f</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η τιμή του οποίου είναι </w:t>
      </w:r>
      <w:r w:rsidRPr="008275EC">
        <w:rPr>
          <w:rFonts w:eastAsia="Calibri"/>
          <w:szCs w:val="24"/>
        </w:rPr>
        <w:t>f</w:t>
      </w:r>
      <w:r w:rsidRPr="008275EC">
        <w:rPr>
          <w:rFonts w:eastAsia="Calibri"/>
          <w:szCs w:val="24"/>
          <w:lang w:val="el-GR"/>
        </w:rPr>
        <w:t>-</w:t>
      </w:r>
      <w:r w:rsidRPr="008275EC">
        <w:rPr>
          <w:rFonts w:eastAsia="Calibri"/>
          <w:szCs w:val="24"/>
        </w:rPr>
        <w:t>value</w:t>
      </w:r>
      <w:r w:rsidRPr="008275EC">
        <w:rPr>
          <w:rFonts w:eastAsia="Calibri"/>
          <w:szCs w:val="24"/>
          <w:lang w:val="el-GR"/>
        </w:rPr>
        <w:t>=1,276</w:t>
      </w:r>
      <w:r w:rsidRPr="008275EC">
        <w:rPr>
          <w:rFonts w:eastAsia="Calibri"/>
          <w:szCs w:val="24"/>
          <w:vertAlign w:val="superscript"/>
          <w:lang w:val="el-GR"/>
        </w:rPr>
        <w:footnoteReference w:id="18"/>
      </w:r>
      <w:r w:rsidRPr="008275EC">
        <w:rPr>
          <w:rFonts w:eastAsia="Calibri"/>
          <w:szCs w:val="24"/>
          <w:lang w:val="el-GR"/>
        </w:rPr>
        <w:t>. Όταν η εν λόγω μεταβλητή έχει τιμή μεγαλύτερη από 1 υποδηλώνει ότι κάτι είναι στατιστικά σημαντικό στην παλινδρόμηση.</w:t>
      </w:r>
    </w:p>
    <w:p w14:paraId="119017F8" w14:textId="77777777" w:rsidR="00921AD8" w:rsidRDefault="008275EC" w:rsidP="00921AD8">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lastRenderedPageBreak/>
        <w:t xml:space="preserve">Ολοκληρώνοντας, όσον αφορά τις ερευνητικές υποθέσεις, στην πρώτη ερευνητική υπόθεση </w:t>
      </w:r>
      <w:bookmarkStart w:id="103" w:name="_Hlk85192268"/>
      <w:r w:rsidRPr="008275EC">
        <w:rPr>
          <w:rFonts w:eastAsia="Calibri"/>
          <w:szCs w:val="24"/>
          <w:lang w:val="el-GR"/>
        </w:rPr>
        <w:t>κάνουμε δεχτή την μηδενική υπόθεση (</w:t>
      </w:r>
      <w:r w:rsidRPr="008275EC">
        <w:rPr>
          <w:rFonts w:eastAsia="Arial Unicode MS"/>
          <w:szCs w:val="24"/>
          <w:bdr w:val="nil"/>
          <w:lang w:val="en-GB"/>
        </w:rPr>
        <w:t>H</w:t>
      </w:r>
      <w:r w:rsidRPr="008275EC">
        <w:rPr>
          <w:rFonts w:eastAsia="Arial Unicode MS"/>
          <w:szCs w:val="24"/>
          <w:bdr w:val="nil"/>
          <w:vertAlign w:val="subscript"/>
          <w:lang w:val="en-GB"/>
        </w:rPr>
        <w:t>o</w:t>
      </w:r>
      <w:r w:rsidRPr="008275EC">
        <w:rPr>
          <w:rFonts w:eastAsia="Arial Unicode MS"/>
          <w:szCs w:val="24"/>
          <w:bdr w:val="nil"/>
          <w:lang w:val="el-GR"/>
        </w:rPr>
        <w:t>)</w:t>
      </w:r>
      <w:r w:rsidRPr="008275EC">
        <w:rPr>
          <w:rFonts w:eastAsia="Calibri"/>
          <w:szCs w:val="24"/>
          <w:lang w:val="el-GR"/>
        </w:rPr>
        <w:t xml:space="preserve">. </w:t>
      </w:r>
      <w:bookmarkEnd w:id="103"/>
      <w:r w:rsidRPr="008275EC">
        <w:rPr>
          <w:rFonts w:eastAsia="Calibri"/>
          <w:szCs w:val="24"/>
          <w:lang w:val="el-GR"/>
        </w:rPr>
        <w:t>Η τιμή σημαντικότητας είναι μεγαλύτερη του 0,05 (</w:t>
      </w:r>
      <w:r w:rsidRPr="008275EC">
        <w:rPr>
          <w:rFonts w:eastAsia="Calibri"/>
          <w:szCs w:val="24"/>
          <w:bdr w:val="nil"/>
          <w:lang w:val="el-GR"/>
        </w:rPr>
        <w:t xml:space="preserve">0,91 &gt; 0,05). Η αποδοχή της μηδενική υπόθεση υποδηλώνει ότι δεν υπάρχει επίδραση των μεταβολών των κερδών στις αποδόσεις των τιμών των μετοχών. Όσον αφορά την δεύτερη ερευνητική υπόθεση, για τον δείκτη </w:t>
      </w:r>
      <w:r w:rsidRPr="008275EC">
        <w:rPr>
          <w:rFonts w:eastAsia="Calibri"/>
          <w:szCs w:val="24"/>
          <w:bdr w:val="nil"/>
        </w:rPr>
        <w:t>ROA</w:t>
      </w:r>
      <w:r w:rsidRPr="008275EC">
        <w:rPr>
          <w:rFonts w:eastAsia="Calibri"/>
          <w:szCs w:val="24"/>
          <w:bdr w:val="nil"/>
          <w:lang w:val="el-GR"/>
        </w:rPr>
        <w:t xml:space="preserve"> δεχόμαστε τη μηδενική υπόθεση </w:t>
      </w:r>
      <w:r w:rsidRPr="008275EC">
        <w:rPr>
          <w:rFonts w:eastAsia="Calibri"/>
          <w:szCs w:val="24"/>
          <w:lang w:val="el-GR"/>
        </w:rPr>
        <w:t>(</w:t>
      </w:r>
      <w:r w:rsidRPr="008275EC">
        <w:rPr>
          <w:rFonts w:eastAsia="Arial Unicode MS"/>
          <w:szCs w:val="24"/>
          <w:bdr w:val="nil"/>
          <w:lang w:val="en-GB"/>
        </w:rPr>
        <w:t>H</w:t>
      </w:r>
      <w:r w:rsidRPr="008275EC">
        <w:rPr>
          <w:rFonts w:eastAsia="Arial Unicode MS"/>
          <w:szCs w:val="24"/>
          <w:bdr w:val="nil"/>
          <w:vertAlign w:val="subscript"/>
          <w:lang w:val="en-GB"/>
        </w:rPr>
        <w:t>o</w:t>
      </w:r>
      <w:r w:rsidRPr="008275EC">
        <w:rPr>
          <w:rFonts w:eastAsia="Arial Unicode MS"/>
          <w:szCs w:val="24"/>
          <w:bdr w:val="nil"/>
          <w:lang w:val="el-GR"/>
        </w:rPr>
        <w:t>)</w:t>
      </w:r>
      <w:r w:rsidRPr="008275EC">
        <w:rPr>
          <w:rFonts w:eastAsia="Calibri"/>
          <w:szCs w:val="24"/>
          <w:bdr w:val="nil"/>
          <w:lang w:val="el-GR"/>
        </w:rPr>
        <w:t xml:space="preserve">, ενώ για τον δείκτη </w:t>
      </w:r>
      <w:r w:rsidRPr="008275EC">
        <w:rPr>
          <w:rFonts w:eastAsia="Calibri"/>
          <w:szCs w:val="24"/>
          <w:bdr w:val="nil"/>
        </w:rPr>
        <w:t>ROE</w:t>
      </w:r>
      <w:r w:rsidRPr="008275EC">
        <w:rPr>
          <w:rFonts w:eastAsia="Calibri"/>
          <w:szCs w:val="24"/>
          <w:bdr w:val="nil"/>
          <w:lang w:val="el-GR"/>
        </w:rPr>
        <w:t xml:space="preserve"> δεχόμαστε την εναλλακτική υπόθεση </w:t>
      </w:r>
      <w:r w:rsidRPr="008275EC">
        <w:rPr>
          <w:rFonts w:eastAsia="Calibri"/>
          <w:szCs w:val="24"/>
          <w:lang w:val="el-GR"/>
        </w:rPr>
        <w:t>(</w:t>
      </w:r>
      <w:r w:rsidRPr="008275EC">
        <w:rPr>
          <w:rFonts w:eastAsia="Arial Unicode MS"/>
          <w:szCs w:val="24"/>
          <w:bdr w:val="nil"/>
          <w:lang w:val="en-GB"/>
        </w:rPr>
        <w:t>H</w:t>
      </w:r>
      <w:r w:rsidRPr="008275EC">
        <w:rPr>
          <w:rFonts w:eastAsia="Arial Unicode MS"/>
          <w:szCs w:val="24"/>
          <w:bdr w:val="nil"/>
          <w:vertAlign w:val="subscript"/>
          <w:lang w:val="el-GR"/>
        </w:rPr>
        <w:t>1</w:t>
      </w:r>
      <w:r w:rsidRPr="008275EC">
        <w:rPr>
          <w:rFonts w:eastAsia="Arial Unicode MS"/>
          <w:szCs w:val="24"/>
          <w:bdr w:val="nil"/>
          <w:lang w:val="el-GR"/>
        </w:rPr>
        <w:t>)</w:t>
      </w:r>
      <w:r w:rsidRPr="008275EC">
        <w:rPr>
          <w:rFonts w:eastAsia="Calibri"/>
          <w:szCs w:val="24"/>
          <w:bdr w:val="nil"/>
          <w:lang w:val="el-GR"/>
        </w:rPr>
        <w:t xml:space="preserve">. Δηλαδή, δεν υπάρχει επίδραση των μεταβολών του δείκτη </w:t>
      </w:r>
      <w:r w:rsidRPr="008275EC">
        <w:rPr>
          <w:rFonts w:eastAsia="Calibri"/>
          <w:szCs w:val="24"/>
          <w:bdr w:val="nil"/>
        </w:rPr>
        <w:t>ROA</w:t>
      </w:r>
      <w:r w:rsidRPr="008275EC">
        <w:rPr>
          <w:rFonts w:eastAsia="Calibri"/>
          <w:szCs w:val="24"/>
          <w:bdr w:val="nil"/>
          <w:lang w:val="el-GR"/>
        </w:rPr>
        <w:t xml:space="preserve"> στις αποδόσεις των τιμών των μετοχών. Ενώ, υπάρχει σημαντική επίδραση των μεταβολών του δείκτη </w:t>
      </w:r>
      <w:r w:rsidRPr="008275EC">
        <w:rPr>
          <w:rFonts w:eastAsia="Calibri"/>
          <w:szCs w:val="24"/>
          <w:bdr w:val="nil"/>
        </w:rPr>
        <w:t>ROE</w:t>
      </w:r>
      <w:r w:rsidRPr="008275EC">
        <w:rPr>
          <w:rFonts w:eastAsia="Calibri"/>
          <w:szCs w:val="24"/>
          <w:bdr w:val="nil"/>
          <w:lang w:val="el-GR"/>
        </w:rPr>
        <w:t xml:space="preserve"> στις αποδόσεις των τιμών των μετοχών. </w:t>
      </w:r>
      <w:bookmarkStart w:id="104" w:name="_Hlk85192356"/>
      <w:r w:rsidRPr="008275EC">
        <w:rPr>
          <w:rFonts w:eastAsia="Calibri"/>
          <w:szCs w:val="24"/>
          <w:bdr w:val="nil"/>
          <w:lang w:val="el-GR"/>
        </w:rPr>
        <w:t>Όσον αφορά τη τρίτη ερευνητική υπόθεση</w:t>
      </w:r>
      <w:bookmarkEnd w:id="104"/>
      <w:r w:rsidRPr="008275EC">
        <w:rPr>
          <w:rFonts w:eastAsia="Calibri"/>
          <w:szCs w:val="24"/>
          <w:bdr w:val="nil"/>
          <w:lang w:val="el-GR"/>
        </w:rPr>
        <w:t xml:space="preserve">, </w:t>
      </w:r>
      <w:r w:rsidRPr="008275EC">
        <w:rPr>
          <w:rFonts w:eastAsia="Calibri"/>
          <w:szCs w:val="24"/>
          <w:lang w:val="el-GR"/>
        </w:rPr>
        <w:t>κάνουμε δεχτή την μηδενική υπόθεση (</w:t>
      </w:r>
      <w:r w:rsidRPr="008275EC">
        <w:rPr>
          <w:rFonts w:eastAsia="Arial Unicode MS"/>
          <w:szCs w:val="24"/>
          <w:bdr w:val="nil"/>
          <w:lang w:val="en-GB"/>
        </w:rPr>
        <w:t>H</w:t>
      </w:r>
      <w:r w:rsidRPr="008275EC">
        <w:rPr>
          <w:rFonts w:eastAsia="Arial Unicode MS"/>
          <w:szCs w:val="24"/>
          <w:bdr w:val="nil"/>
          <w:vertAlign w:val="subscript"/>
          <w:lang w:val="en-GB"/>
        </w:rPr>
        <w:t>o</w:t>
      </w:r>
      <w:r w:rsidRPr="008275EC">
        <w:rPr>
          <w:rFonts w:eastAsia="Arial Unicode MS"/>
          <w:szCs w:val="24"/>
          <w:bdr w:val="nil"/>
          <w:lang w:val="el-GR"/>
        </w:rPr>
        <w:t>)</w:t>
      </w:r>
      <w:r w:rsidRPr="008275EC">
        <w:rPr>
          <w:rFonts w:eastAsia="Calibri"/>
          <w:szCs w:val="24"/>
          <w:lang w:val="el-GR"/>
        </w:rPr>
        <w:t>. Δεν υπάρχει επίδραση των μεταβολών των κερδών ανά μετοχή στις αποδόσεις των τιμών των μετοχών.</w:t>
      </w:r>
    </w:p>
    <w:p w14:paraId="28A82C10" w14:textId="59AE5F6F" w:rsidR="008275EC" w:rsidRPr="008275EC" w:rsidRDefault="008275EC" w:rsidP="00921AD8">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bdr w:val="nil"/>
          <w:lang w:val="el-GR"/>
        </w:rPr>
        <w:t>Όσον αφορά τη τέταρτη ερευνητική υπόθεση</w:t>
      </w:r>
      <w:r w:rsidRPr="008275EC">
        <w:rPr>
          <w:rFonts w:eastAsia="Calibri"/>
          <w:szCs w:val="24"/>
          <w:lang w:val="el-GR"/>
        </w:rPr>
        <w:t>, κάνουμε δεκτή την μηδενική υπόθεση (</w:t>
      </w:r>
      <w:r w:rsidRPr="008275EC">
        <w:rPr>
          <w:rFonts w:eastAsia="Arial Unicode MS"/>
          <w:szCs w:val="24"/>
          <w:bdr w:val="nil"/>
          <w:lang w:val="en-GB"/>
        </w:rPr>
        <w:t>H</w:t>
      </w:r>
      <w:r w:rsidRPr="008275EC">
        <w:rPr>
          <w:rFonts w:eastAsia="Arial Unicode MS"/>
          <w:szCs w:val="24"/>
          <w:bdr w:val="nil"/>
          <w:vertAlign w:val="subscript"/>
          <w:lang w:val="en-GB"/>
        </w:rPr>
        <w:t>o</w:t>
      </w:r>
      <w:r w:rsidRPr="008275EC">
        <w:rPr>
          <w:rFonts w:eastAsia="Arial Unicode MS"/>
          <w:szCs w:val="24"/>
          <w:bdr w:val="nil"/>
          <w:lang w:val="el-GR"/>
        </w:rPr>
        <w:t>)</w:t>
      </w:r>
      <w:r w:rsidRPr="008275EC">
        <w:rPr>
          <w:rFonts w:eastAsia="Calibri"/>
          <w:szCs w:val="24"/>
          <w:lang w:val="el-GR"/>
        </w:rPr>
        <w:t xml:space="preserve"> για τους χρηματοπιστωτικούς κινδύνους του κινδύνου επιτοκίου -IRR, του πιστωτικού κινδύνου -CR και του κινδύνου φερεγγυότητας -SR. Ενώ, κάνουμε αποδεκτή την εναλλακτική </w:t>
      </w:r>
      <w:r w:rsidRPr="008275EC">
        <w:rPr>
          <w:rFonts w:eastAsia="Calibri"/>
          <w:szCs w:val="24"/>
          <w:bdr w:val="nil"/>
          <w:lang w:val="el-GR"/>
        </w:rPr>
        <w:t xml:space="preserve">υπόθεση </w:t>
      </w:r>
      <w:r w:rsidRPr="008275EC">
        <w:rPr>
          <w:rFonts w:eastAsia="Calibri"/>
          <w:szCs w:val="24"/>
          <w:lang w:val="el-GR"/>
        </w:rPr>
        <w:t>(</w:t>
      </w:r>
      <w:r w:rsidRPr="008275EC">
        <w:rPr>
          <w:rFonts w:eastAsia="Arial Unicode MS"/>
          <w:szCs w:val="24"/>
          <w:bdr w:val="nil"/>
          <w:lang w:val="en-GB"/>
        </w:rPr>
        <w:t>H</w:t>
      </w:r>
      <w:r w:rsidRPr="008275EC">
        <w:rPr>
          <w:rFonts w:eastAsia="Arial Unicode MS"/>
          <w:szCs w:val="24"/>
          <w:bdr w:val="nil"/>
          <w:vertAlign w:val="subscript"/>
          <w:lang w:val="el-GR"/>
        </w:rPr>
        <w:t>1</w:t>
      </w:r>
      <w:r w:rsidRPr="008275EC">
        <w:rPr>
          <w:rFonts w:eastAsia="Arial Unicode MS"/>
          <w:szCs w:val="24"/>
          <w:bdr w:val="nil"/>
          <w:lang w:val="el-GR"/>
        </w:rPr>
        <w:t>)</w:t>
      </w:r>
      <w:r w:rsidRPr="008275EC">
        <w:rPr>
          <w:rFonts w:eastAsia="Calibri"/>
          <w:szCs w:val="24"/>
          <w:bdr w:val="nil"/>
          <w:lang w:val="el-GR"/>
        </w:rPr>
        <w:t xml:space="preserve"> για τον </w:t>
      </w:r>
      <w:r w:rsidRPr="008275EC">
        <w:rPr>
          <w:rFonts w:eastAsia="Calibri"/>
          <w:szCs w:val="24"/>
          <w:lang w:val="el-GR"/>
        </w:rPr>
        <w:t>κίνδυνο ρευστότητας -LR.</w:t>
      </w:r>
      <w:r w:rsidRPr="008275EC">
        <w:rPr>
          <w:rFonts w:eastAsia="Calibri"/>
          <w:i/>
          <w:iCs/>
          <w:szCs w:val="24"/>
          <w:lang w:val="el-GR"/>
        </w:rPr>
        <w:t xml:space="preserve"> </w:t>
      </w:r>
      <w:r w:rsidRPr="008275EC">
        <w:rPr>
          <w:rFonts w:eastAsia="Calibri"/>
          <w:szCs w:val="24"/>
          <w:lang w:val="el-GR"/>
        </w:rPr>
        <w:t>Ουσιαστικά, δεν υπάρχει επίδραση των μεταβολών του κινδύνου επιτοκίου, του πιστωτικού κινδύνου και του κινδύνου φερεγγυότητας στις αποδόσεις των τιμών των μετοχών. Ενώ, υπάρχει σημαντική επίδραση των μεταβολών του κινδύνου ρευστότητας στις αποδόσεις των τιμών των μετοχών.</w:t>
      </w:r>
    </w:p>
    <w:p w14:paraId="56AF2C37"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194021FC" w14:textId="36A6D0A9" w:rsidR="008275EC" w:rsidRPr="008275EC" w:rsidRDefault="00921AD8" w:rsidP="00921AD8">
      <w:pPr>
        <w:pBdr>
          <w:top w:val="nil"/>
          <w:left w:val="nil"/>
          <w:bottom w:val="nil"/>
          <w:right w:val="nil"/>
          <w:between w:val="nil"/>
          <w:bar w:val="nil"/>
        </w:pBdr>
        <w:spacing w:before="200" w:after="200"/>
        <w:ind w:firstLine="0"/>
        <w:jc w:val="center"/>
        <w:rPr>
          <w:rFonts w:eastAsia="Calibri"/>
          <w:szCs w:val="24"/>
          <w:lang w:val="el-GR"/>
        </w:rPr>
      </w:pPr>
      <w:r w:rsidRPr="00921AD8">
        <w:rPr>
          <w:rFonts w:eastAsia="Calibri"/>
          <w:szCs w:val="24"/>
          <w:lang w:val="el-GR"/>
        </w:rPr>
        <w:t>4</w:t>
      </w:r>
      <w:r w:rsidR="008275EC" w:rsidRPr="008275EC">
        <w:rPr>
          <w:rFonts w:eastAsia="Calibri"/>
          <w:szCs w:val="24"/>
          <w:lang w:val="el-GR"/>
        </w:rPr>
        <w:t>.2.2. ΔΕΥΤΕΡΗ ΠΑΛΙΝΔΡΟΜΗΣΗ</w:t>
      </w:r>
    </w:p>
    <w:p w14:paraId="4FA46554" w14:textId="77777777" w:rsidR="00921AD8" w:rsidRDefault="008275EC" w:rsidP="00921AD8">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Συνεχίζοντας, θα παρουσιάσουμε τα αποτελέσματα της δεύτερης γραμμικής ανάλυσης παλινδρόμησης. </w:t>
      </w:r>
    </w:p>
    <w:p w14:paraId="45705418" w14:textId="5A9CE303" w:rsidR="008275EC" w:rsidRDefault="008275EC" w:rsidP="00921AD8">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Η δεύτερη ανάλυση αναφέρεται στη σχέση μεταξύ των μεταβολών των καθαρών αποτελεσμάτων χρήσης των τεσσάρων συστημικών ελληνικών τραπεζών, με τις μεταβολές των χρηματοοικονομικών κινδύνων αυτών. Στην δεύτερη γραμμική ανάλυση ως εξαρτημένη μεταβλητή είναι οι μεταβολές των κερδών/ ζημιών χρήσης (</w:t>
      </w:r>
      <w:r w:rsidRPr="008275EC">
        <w:rPr>
          <w:rFonts w:eastAsia="Calibri"/>
          <w:szCs w:val="24"/>
        </w:rPr>
        <w:t>NI</w:t>
      </w:r>
      <w:r w:rsidRPr="008275EC">
        <w:rPr>
          <w:rFonts w:eastAsia="Calibri"/>
          <w:szCs w:val="24"/>
          <w:lang w:val="el-GR"/>
        </w:rPr>
        <w:t xml:space="preserve">), και ως ανεξάρτητες μεταβλητές είναι οι χρηματοοικονομικοί κίνδυνοι των τεσσάρων συστημικών οργανισμών (κίνδυνος επιτοκίου -IRR, πιστωτικός κίνδυνος -CR, κίνδυνος φερεγγυότητας -SR και κίνδυνος ρευστότητας -LR). </w:t>
      </w:r>
    </w:p>
    <w:p w14:paraId="5AA4E707" w14:textId="0C742BBC" w:rsidR="00921AD8" w:rsidRPr="008275EC" w:rsidRDefault="00921AD8" w:rsidP="00921AD8">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lastRenderedPageBreak/>
        <w:t xml:space="preserve">Η </w:t>
      </w:r>
      <w:r>
        <w:rPr>
          <w:rFonts w:eastAsia="Calibri"/>
          <w:szCs w:val="24"/>
          <w:lang w:val="el-GR"/>
        </w:rPr>
        <w:t>δεύτερη</w:t>
      </w:r>
      <w:r w:rsidRPr="008275EC">
        <w:rPr>
          <w:rFonts w:eastAsia="Calibri"/>
          <w:szCs w:val="24"/>
          <w:lang w:val="el-GR"/>
        </w:rPr>
        <w:t xml:space="preserve"> γραμμική ανάλυση παλινδρόμησης</w:t>
      </w:r>
      <w:r>
        <w:rPr>
          <w:rFonts w:eastAsia="Calibri"/>
          <w:szCs w:val="24"/>
          <w:lang w:val="el-GR"/>
        </w:rPr>
        <w:t xml:space="preserve"> έδωσε τα παρακάτω αποτελέσματα (υπόδειγμα παλινδρόμησης 2)</w:t>
      </w:r>
      <w:r w:rsidRPr="008275EC">
        <w:rPr>
          <w:rFonts w:eastAsia="Calibri"/>
          <w:szCs w:val="24"/>
          <w:lang w:val="el-GR"/>
        </w:rPr>
        <w:t>:</w:t>
      </w:r>
    </w:p>
    <w:p w14:paraId="4319A539" w14:textId="6F3B2968" w:rsidR="00921AD8" w:rsidRPr="008275EC" w:rsidRDefault="00921AD8" w:rsidP="00921AD8">
      <w:pPr>
        <w:pBdr>
          <w:top w:val="nil"/>
          <w:left w:val="nil"/>
          <w:bottom w:val="nil"/>
          <w:right w:val="nil"/>
          <w:between w:val="nil"/>
          <w:bar w:val="nil"/>
        </w:pBdr>
        <w:spacing w:before="200" w:after="200"/>
        <w:ind w:firstLine="0"/>
        <w:rPr>
          <w:rFonts w:eastAsia="Calibri"/>
          <w:b/>
          <w:bCs/>
          <w:szCs w:val="24"/>
          <w:lang w:val="el-GR"/>
        </w:rPr>
      </w:pPr>
      <w:r w:rsidRPr="008275EC">
        <w:rPr>
          <w:rFonts w:eastAsia="Calibri"/>
          <w:b/>
          <w:bCs/>
          <w:szCs w:val="24"/>
          <w:lang w:val="el-GR"/>
        </w:rPr>
        <w:t>Π</w:t>
      </w:r>
      <w:r>
        <w:rPr>
          <w:rFonts w:eastAsia="Calibri"/>
          <w:b/>
          <w:bCs/>
          <w:szCs w:val="24"/>
          <w:lang w:val="el-GR"/>
        </w:rPr>
        <w:t>ί</w:t>
      </w:r>
      <w:r w:rsidRPr="008275EC">
        <w:rPr>
          <w:rFonts w:eastAsia="Calibri"/>
          <w:b/>
          <w:bCs/>
          <w:szCs w:val="24"/>
          <w:lang w:val="el-GR"/>
        </w:rPr>
        <w:t xml:space="preserve">νακας </w:t>
      </w:r>
      <w:r>
        <w:rPr>
          <w:rFonts w:eastAsia="Calibri"/>
          <w:b/>
          <w:bCs/>
          <w:szCs w:val="24"/>
          <w:lang w:val="el-GR"/>
        </w:rPr>
        <w:t>2.</w:t>
      </w:r>
      <w:r w:rsidRPr="008275EC">
        <w:rPr>
          <w:rFonts w:eastAsia="Calibri"/>
          <w:b/>
          <w:bCs/>
          <w:szCs w:val="24"/>
          <w:lang w:val="el-GR"/>
        </w:rPr>
        <w:t xml:space="preserve"> </w:t>
      </w:r>
      <w:r w:rsidRPr="006D550B">
        <w:rPr>
          <w:rFonts w:eastAsia="Calibri"/>
          <w:szCs w:val="24"/>
          <w:lang w:val="el-GR"/>
        </w:rPr>
        <w:t>Αποτελ</w:t>
      </w:r>
      <w:r>
        <w:rPr>
          <w:rFonts w:eastAsia="Calibri"/>
          <w:szCs w:val="24"/>
          <w:lang w:val="el-GR"/>
        </w:rPr>
        <w:t>έ</w:t>
      </w:r>
      <w:r w:rsidRPr="006D550B">
        <w:rPr>
          <w:rFonts w:eastAsia="Calibri"/>
          <w:szCs w:val="24"/>
          <w:lang w:val="el-GR"/>
        </w:rPr>
        <w:t xml:space="preserve">σματα </w:t>
      </w:r>
      <w:r w:rsidR="00E2183F">
        <w:rPr>
          <w:rFonts w:eastAsia="Calibri"/>
          <w:szCs w:val="24"/>
          <w:lang w:val="el-GR"/>
        </w:rPr>
        <w:t>Δεύτερης</w:t>
      </w:r>
      <w:r w:rsidRPr="006D550B">
        <w:rPr>
          <w:rFonts w:eastAsia="Calibri"/>
          <w:szCs w:val="24"/>
          <w:lang w:val="el-GR"/>
        </w:rPr>
        <w:t xml:space="preserve"> Γραμμικ</w:t>
      </w:r>
      <w:r>
        <w:rPr>
          <w:rFonts w:eastAsia="Calibri"/>
          <w:szCs w:val="24"/>
          <w:lang w:val="el-GR"/>
        </w:rPr>
        <w:t>ή</w:t>
      </w:r>
      <w:r w:rsidRPr="006D550B">
        <w:rPr>
          <w:rFonts w:eastAsia="Calibri"/>
          <w:szCs w:val="24"/>
          <w:lang w:val="el-GR"/>
        </w:rPr>
        <w:t>ς Παλινδρ</w:t>
      </w:r>
      <w:r>
        <w:rPr>
          <w:rFonts w:eastAsia="Calibri"/>
          <w:szCs w:val="24"/>
          <w:lang w:val="el-GR"/>
        </w:rPr>
        <w:t>ό</w:t>
      </w:r>
      <w:r w:rsidRPr="006D550B">
        <w:rPr>
          <w:rFonts w:eastAsia="Calibri"/>
          <w:szCs w:val="24"/>
          <w:lang w:val="el-GR"/>
        </w:rPr>
        <w:t>μησης</w:t>
      </w:r>
      <w:r w:rsidRPr="00DF7258">
        <w:rPr>
          <w:rStyle w:val="af6"/>
          <w:rFonts w:eastAsia="Calibri"/>
          <w:sz w:val="16"/>
          <w:szCs w:val="16"/>
          <w:lang w:val="el-GR"/>
        </w:rPr>
        <w:footnoteReference w:id="19"/>
      </w:r>
      <w:r>
        <w:rPr>
          <w:rFonts w:eastAsia="Calibri"/>
          <w:szCs w:val="24"/>
          <w:lang w:val="el-GR"/>
        </w:rPr>
        <w:t>.</w:t>
      </w:r>
    </w:p>
    <w:tbl>
      <w:tblPr>
        <w:tblStyle w:val="ListTable2-Accent11"/>
        <w:tblW w:w="6307" w:type="dxa"/>
        <w:tblInd w:w="1343" w:type="dxa"/>
        <w:tblLook w:val="04A0" w:firstRow="1" w:lastRow="0" w:firstColumn="1" w:lastColumn="0" w:noHBand="0" w:noVBand="1"/>
      </w:tblPr>
      <w:tblGrid>
        <w:gridCol w:w="1418"/>
        <w:gridCol w:w="1701"/>
        <w:gridCol w:w="958"/>
        <w:gridCol w:w="245"/>
        <w:gridCol w:w="1985"/>
      </w:tblGrid>
      <w:tr w:rsidR="00921AD8" w:rsidRPr="008275EC" w14:paraId="555A09D5" w14:textId="77777777" w:rsidTr="008D79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gridSpan w:val="3"/>
            <w:tcBorders>
              <w:top w:val="single" w:sz="4" w:space="0" w:color="002060"/>
              <w:left w:val="single" w:sz="4" w:space="0" w:color="002060"/>
              <w:bottom w:val="single" w:sz="4" w:space="0" w:color="002060"/>
              <w:right w:val="single" w:sz="4" w:space="0" w:color="002060"/>
            </w:tcBorders>
          </w:tcPr>
          <w:p w14:paraId="49E4412B" w14:textId="77777777" w:rsidR="00921AD8" w:rsidRPr="008275EC" w:rsidRDefault="00921AD8" w:rsidP="008D791C">
            <w:pPr>
              <w:spacing w:line="240" w:lineRule="auto"/>
              <w:ind w:firstLine="0"/>
              <w:jc w:val="center"/>
              <w:rPr>
                <w:rFonts w:eastAsia="Calibri"/>
                <w:szCs w:val="24"/>
                <w:lang w:val="el-GR"/>
              </w:rPr>
            </w:pPr>
            <w:r w:rsidRPr="008275EC">
              <w:rPr>
                <w:rFonts w:eastAsia="Calibri"/>
                <w:szCs w:val="24"/>
              </w:rPr>
              <w:t>R</w:t>
            </w:r>
          </w:p>
        </w:tc>
        <w:tc>
          <w:tcPr>
            <w:tcW w:w="2230" w:type="dxa"/>
            <w:gridSpan w:val="2"/>
            <w:tcBorders>
              <w:top w:val="single" w:sz="4" w:space="0" w:color="002060"/>
              <w:left w:val="single" w:sz="4" w:space="0" w:color="002060"/>
              <w:bottom w:val="single" w:sz="4" w:space="0" w:color="002060"/>
              <w:right w:val="single" w:sz="4" w:space="0" w:color="002060"/>
            </w:tcBorders>
          </w:tcPr>
          <w:p w14:paraId="54A4E7B6" w14:textId="4467C6EB" w:rsidR="00921AD8" w:rsidRPr="006D550B" w:rsidRDefault="00921AD8" w:rsidP="008D791C">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b w:val="0"/>
                <w:bCs w:val="0"/>
                <w:szCs w:val="24"/>
                <w:lang w:val="el-GR"/>
              </w:rPr>
            </w:pPr>
            <w:r w:rsidRPr="00921AD8">
              <w:rPr>
                <w:rFonts w:eastAsia="Calibri"/>
                <w:b w:val="0"/>
                <w:bCs w:val="0"/>
                <w:szCs w:val="24"/>
                <w:lang w:val="el-GR"/>
              </w:rPr>
              <w:t>0,655</w:t>
            </w:r>
          </w:p>
        </w:tc>
      </w:tr>
      <w:tr w:rsidR="00921AD8" w:rsidRPr="008275EC" w14:paraId="2BF5277F" w14:textId="77777777" w:rsidTr="008D79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gridSpan w:val="3"/>
            <w:tcBorders>
              <w:top w:val="dashed" w:sz="4" w:space="0" w:color="auto"/>
              <w:left w:val="single" w:sz="4" w:space="0" w:color="002060"/>
              <w:bottom w:val="single" w:sz="4" w:space="0" w:color="002060"/>
              <w:right w:val="single" w:sz="4" w:space="0" w:color="002060"/>
            </w:tcBorders>
            <w:shd w:val="clear" w:color="auto" w:fill="002060"/>
          </w:tcPr>
          <w:p w14:paraId="7A380C9D" w14:textId="77777777" w:rsidR="00921AD8" w:rsidRPr="008275EC" w:rsidRDefault="00921AD8" w:rsidP="008D791C">
            <w:pPr>
              <w:spacing w:line="240" w:lineRule="auto"/>
              <w:ind w:firstLine="0"/>
              <w:jc w:val="center"/>
              <w:rPr>
                <w:rFonts w:eastAsia="Calibri"/>
                <w:szCs w:val="24"/>
                <w:lang w:val="el-GR"/>
              </w:rPr>
            </w:pPr>
            <w:r w:rsidRPr="008275EC">
              <w:rPr>
                <w:rFonts w:eastAsia="Calibri"/>
                <w:szCs w:val="24"/>
              </w:rPr>
              <w:t>R</w:t>
            </w:r>
            <w:r w:rsidRPr="008275EC">
              <w:rPr>
                <w:rFonts w:eastAsia="Calibri"/>
                <w:szCs w:val="24"/>
                <w:vertAlign w:val="superscript"/>
              </w:rPr>
              <w:t>2</w:t>
            </w:r>
          </w:p>
        </w:tc>
        <w:tc>
          <w:tcPr>
            <w:tcW w:w="2230" w:type="dxa"/>
            <w:gridSpan w:val="2"/>
            <w:tcBorders>
              <w:top w:val="dashed" w:sz="4" w:space="0" w:color="auto"/>
              <w:left w:val="single" w:sz="4" w:space="0" w:color="002060"/>
              <w:bottom w:val="single" w:sz="4" w:space="0" w:color="002060"/>
              <w:right w:val="single" w:sz="4" w:space="0" w:color="002060"/>
            </w:tcBorders>
            <w:shd w:val="clear" w:color="auto" w:fill="002060"/>
          </w:tcPr>
          <w:p w14:paraId="5348D3E0" w14:textId="158FF016" w:rsidR="00921AD8" w:rsidRPr="006D550B" w:rsidRDefault="00921AD8" w:rsidP="008D791C">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r w:rsidRPr="00921AD8">
              <w:rPr>
                <w:rFonts w:eastAsia="Calibri"/>
                <w:szCs w:val="24"/>
                <w:lang w:val="el-GR"/>
              </w:rPr>
              <w:t>0,430</w:t>
            </w:r>
          </w:p>
        </w:tc>
      </w:tr>
      <w:tr w:rsidR="00921AD8" w:rsidRPr="008275EC" w14:paraId="682F8855" w14:textId="77777777" w:rsidTr="008D791C">
        <w:tc>
          <w:tcPr>
            <w:cnfStyle w:val="001000000000" w:firstRow="0" w:lastRow="0" w:firstColumn="1" w:lastColumn="0" w:oddVBand="0" w:evenVBand="0" w:oddHBand="0" w:evenHBand="0" w:firstRowFirstColumn="0" w:firstRowLastColumn="0" w:lastRowFirstColumn="0" w:lastRowLastColumn="0"/>
            <w:tcW w:w="4077" w:type="dxa"/>
            <w:gridSpan w:val="3"/>
            <w:tcBorders>
              <w:top w:val="single" w:sz="4" w:space="0" w:color="002060"/>
              <w:left w:val="single" w:sz="4" w:space="0" w:color="002060"/>
              <w:bottom w:val="single" w:sz="4" w:space="0" w:color="002060"/>
              <w:right w:val="single" w:sz="4" w:space="0" w:color="002060"/>
            </w:tcBorders>
          </w:tcPr>
          <w:p w14:paraId="76F8F4EC" w14:textId="77777777" w:rsidR="00921AD8" w:rsidRPr="008275EC" w:rsidRDefault="00921AD8" w:rsidP="008D791C">
            <w:pPr>
              <w:spacing w:line="240" w:lineRule="auto"/>
              <w:ind w:firstLine="0"/>
              <w:jc w:val="center"/>
              <w:rPr>
                <w:rFonts w:eastAsia="Calibri"/>
                <w:szCs w:val="24"/>
                <w:lang w:val="el-GR"/>
              </w:rPr>
            </w:pPr>
            <w:r w:rsidRPr="008275EC">
              <w:rPr>
                <w:rFonts w:eastAsia="Calibri"/>
                <w:szCs w:val="24"/>
                <w:lang w:val="el-GR"/>
              </w:rPr>
              <w:t xml:space="preserve">Προσαρμοσμένο </w:t>
            </w:r>
            <w:r w:rsidRPr="008275EC">
              <w:rPr>
                <w:rFonts w:eastAsia="Calibri"/>
                <w:szCs w:val="24"/>
              </w:rPr>
              <w:t>R</w:t>
            </w:r>
            <w:r w:rsidRPr="008275EC">
              <w:rPr>
                <w:rFonts w:eastAsia="Calibri"/>
                <w:szCs w:val="24"/>
                <w:vertAlign w:val="superscript"/>
              </w:rPr>
              <w:t>2</w:t>
            </w:r>
          </w:p>
        </w:tc>
        <w:tc>
          <w:tcPr>
            <w:tcW w:w="2230" w:type="dxa"/>
            <w:gridSpan w:val="2"/>
            <w:tcBorders>
              <w:top w:val="single" w:sz="4" w:space="0" w:color="002060"/>
              <w:left w:val="single" w:sz="4" w:space="0" w:color="002060"/>
              <w:bottom w:val="single" w:sz="4" w:space="0" w:color="002060"/>
              <w:right w:val="single" w:sz="4" w:space="0" w:color="002060"/>
            </w:tcBorders>
          </w:tcPr>
          <w:p w14:paraId="47D8EE01" w14:textId="4A4F5A39" w:rsidR="00921AD8" w:rsidRPr="006D550B" w:rsidRDefault="00921AD8"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921AD8">
              <w:rPr>
                <w:rFonts w:eastAsia="Calibri"/>
                <w:szCs w:val="24"/>
                <w:lang w:val="el-GR"/>
              </w:rPr>
              <w:t>0,388</w:t>
            </w:r>
          </w:p>
        </w:tc>
      </w:tr>
      <w:tr w:rsidR="00921AD8" w:rsidRPr="008275EC" w14:paraId="62A4914F" w14:textId="77777777" w:rsidTr="008D79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gridSpan w:val="3"/>
            <w:tcBorders>
              <w:top w:val="single" w:sz="4" w:space="0" w:color="002060"/>
              <w:left w:val="single" w:sz="4" w:space="0" w:color="002060"/>
              <w:bottom w:val="single" w:sz="4" w:space="0" w:color="002060"/>
              <w:right w:val="single" w:sz="4" w:space="0" w:color="002060"/>
            </w:tcBorders>
            <w:shd w:val="clear" w:color="auto" w:fill="002060"/>
          </w:tcPr>
          <w:p w14:paraId="028E1B45" w14:textId="77777777" w:rsidR="00921AD8" w:rsidRPr="008275EC" w:rsidRDefault="00921AD8" w:rsidP="008D791C">
            <w:pPr>
              <w:spacing w:line="240" w:lineRule="auto"/>
              <w:ind w:firstLine="0"/>
              <w:jc w:val="center"/>
              <w:rPr>
                <w:rFonts w:eastAsia="Calibri"/>
                <w:szCs w:val="24"/>
                <w:lang w:val="el-GR"/>
              </w:rPr>
            </w:pPr>
            <w:r w:rsidRPr="008275EC">
              <w:rPr>
                <w:rFonts w:eastAsia="Calibri"/>
                <w:szCs w:val="24"/>
                <w:lang w:val="el-GR"/>
              </w:rPr>
              <w:t xml:space="preserve">Τιμή σημαντικότητας </w:t>
            </w:r>
          </w:p>
          <w:p w14:paraId="20B8D93F" w14:textId="77777777" w:rsidR="00921AD8" w:rsidRPr="008275EC" w:rsidRDefault="00921AD8" w:rsidP="008D791C">
            <w:pPr>
              <w:spacing w:line="240" w:lineRule="auto"/>
              <w:ind w:firstLine="0"/>
              <w:jc w:val="center"/>
              <w:rPr>
                <w:rFonts w:eastAsia="Calibri"/>
                <w:szCs w:val="24"/>
                <w:lang w:val="el-GR"/>
              </w:rPr>
            </w:pPr>
            <w:r w:rsidRPr="008275EC">
              <w:rPr>
                <w:rFonts w:eastAsia="Calibri"/>
                <w:szCs w:val="24"/>
                <w:lang w:val="el-GR"/>
              </w:rPr>
              <w:t>(</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w:t>
            </w:r>
          </w:p>
          <w:p w14:paraId="6E72FBAF" w14:textId="77777777" w:rsidR="00921AD8" w:rsidRPr="008275EC" w:rsidRDefault="00921AD8" w:rsidP="008D791C">
            <w:pPr>
              <w:spacing w:line="240" w:lineRule="auto"/>
              <w:ind w:firstLine="0"/>
              <w:jc w:val="center"/>
              <w:rPr>
                <w:rFonts w:eastAsia="Calibri"/>
                <w:b w:val="0"/>
                <w:bCs w:val="0"/>
                <w:szCs w:val="24"/>
                <w:lang w:val="el-GR"/>
              </w:rPr>
            </w:pPr>
            <w:r w:rsidRPr="008275EC">
              <w:rPr>
                <w:rFonts w:eastAsia="Calibri"/>
                <w:szCs w:val="24"/>
                <w:lang w:val="el-GR"/>
              </w:rPr>
              <w:t>(</w:t>
            </w:r>
            <w:r w:rsidRPr="008275EC">
              <w:rPr>
                <w:rFonts w:eastAsia="Calibri"/>
                <w:szCs w:val="24"/>
              </w:rPr>
              <w:t>f</w:t>
            </w:r>
            <w:r w:rsidRPr="008275EC">
              <w:rPr>
                <w:rFonts w:eastAsia="Calibri"/>
                <w:szCs w:val="24"/>
                <w:lang w:val="el-GR"/>
              </w:rPr>
              <w:t>-</w:t>
            </w:r>
            <w:r w:rsidRPr="008275EC">
              <w:rPr>
                <w:rFonts w:eastAsia="Calibri"/>
                <w:szCs w:val="24"/>
              </w:rPr>
              <w:t>value</w:t>
            </w:r>
            <w:r w:rsidRPr="008275EC">
              <w:rPr>
                <w:rFonts w:eastAsia="Calibri"/>
                <w:szCs w:val="24"/>
                <w:lang w:val="el-GR"/>
              </w:rPr>
              <w:t>)</w:t>
            </w:r>
          </w:p>
        </w:tc>
        <w:tc>
          <w:tcPr>
            <w:tcW w:w="2230" w:type="dxa"/>
            <w:gridSpan w:val="2"/>
            <w:tcBorders>
              <w:top w:val="single" w:sz="4" w:space="0" w:color="002060"/>
              <w:left w:val="single" w:sz="4" w:space="0" w:color="002060"/>
              <w:bottom w:val="single" w:sz="4" w:space="0" w:color="002060"/>
              <w:right w:val="single" w:sz="4" w:space="0" w:color="002060"/>
            </w:tcBorders>
            <w:shd w:val="clear" w:color="auto" w:fill="002060"/>
          </w:tcPr>
          <w:p w14:paraId="4C2E6973" w14:textId="77777777" w:rsidR="00921AD8" w:rsidRDefault="00921AD8" w:rsidP="008D791C">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p>
          <w:p w14:paraId="4B8A0A04" w14:textId="7B5F2AC1" w:rsidR="00921AD8" w:rsidRPr="00921AD8" w:rsidRDefault="00921AD8" w:rsidP="00921AD8">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r w:rsidRPr="00921AD8">
              <w:rPr>
                <w:rFonts w:eastAsia="Calibri"/>
                <w:szCs w:val="24"/>
                <w:lang w:val="el-GR"/>
              </w:rPr>
              <w:t>0,000</w:t>
            </w:r>
            <w:r>
              <w:rPr>
                <w:rFonts w:eastAsia="Calibri"/>
                <w:szCs w:val="24"/>
                <w:lang w:val="el-GR"/>
              </w:rPr>
              <w:t>**</w:t>
            </w:r>
          </w:p>
          <w:p w14:paraId="59927522" w14:textId="09AF1080" w:rsidR="00921AD8" w:rsidRPr="008275EC" w:rsidRDefault="00921AD8" w:rsidP="00921AD8">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r w:rsidRPr="00921AD8">
              <w:rPr>
                <w:rFonts w:eastAsia="Calibri"/>
                <w:szCs w:val="24"/>
                <w:lang w:val="el-GR"/>
              </w:rPr>
              <w:t>10,355</w:t>
            </w:r>
          </w:p>
        </w:tc>
      </w:tr>
      <w:tr w:rsidR="00921AD8" w:rsidRPr="008275EC" w14:paraId="601B9440" w14:textId="77777777" w:rsidTr="00921AD8">
        <w:trPr>
          <w:trHeight w:val="2469"/>
        </w:trPr>
        <w:tc>
          <w:tcPr>
            <w:cnfStyle w:val="001000000000" w:firstRow="0" w:lastRow="0" w:firstColumn="1" w:lastColumn="0" w:oddVBand="0" w:evenVBand="0" w:oddHBand="0" w:evenHBand="0" w:firstRowFirstColumn="0" w:firstRowLastColumn="0" w:lastRowFirstColumn="0" w:lastRowLastColumn="0"/>
            <w:tcW w:w="1418" w:type="dxa"/>
            <w:tcBorders>
              <w:top w:val="single" w:sz="4" w:space="0" w:color="002060"/>
              <w:left w:val="single" w:sz="4" w:space="0" w:color="002060"/>
              <w:bottom w:val="single" w:sz="4" w:space="0" w:color="002060"/>
              <w:right w:val="single" w:sz="4" w:space="0" w:color="002060"/>
            </w:tcBorders>
          </w:tcPr>
          <w:p w14:paraId="5E677C7B" w14:textId="71CD93A4" w:rsidR="00921AD8" w:rsidRPr="002E7AE8" w:rsidRDefault="00921AD8" w:rsidP="008D791C">
            <w:pPr>
              <w:spacing w:line="240" w:lineRule="auto"/>
              <w:ind w:firstLine="0"/>
              <w:jc w:val="center"/>
              <w:rPr>
                <w:rFonts w:eastAsia="Calibri"/>
                <w:szCs w:val="24"/>
              </w:rPr>
            </w:pPr>
          </w:p>
          <w:p w14:paraId="76A5FDB3" w14:textId="77777777" w:rsidR="00921AD8" w:rsidRPr="002E7AE8" w:rsidRDefault="00921AD8" w:rsidP="008D791C">
            <w:pPr>
              <w:spacing w:line="240" w:lineRule="auto"/>
              <w:ind w:firstLine="0"/>
              <w:jc w:val="center"/>
              <w:rPr>
                <w:rFonts w:eastAsia="Calibri"/>
                <w:b w:val="0"/>
                <w:bCs w:val="0"/>
                <w:szCs w:val="24"/>
              </w:rPr>
            </w:pPr>
          </w:p>
          <w:p w14:paraId="289AB512" w14:textId="77777777" w:rsidR="00921AD8" w:rsidRPr="002E7AE8" w:rsidRDefault="00921AD8" w:rsidP="00921AD8">
            <w:pPr>
              <w:spacing w:line="240" w:lineRule="auto"/>
              <w:ind w:firstLine="0"/>
              <w:rPr>
                <w:rFonts w:eastAsia="Calibri"/>
                <w:b w:val="0"/>
                <w:bCs w:val="0"/>
                <w:szCs w:val="24"/>
              </w:rPr>
            </w:pPr>
          </w:p>
          <w:p w14:paraId="5221430A" w14:textId="77777777" w:rsidR="00921AD8" w:rsidRPr="002E7AE8" w:rsidRDefault="00921AD8" w:rsidP="008D791C">
            <w:pPr>
              <w:spacing w:line="240" w:lineRule="auto"/>
              <w:ind w:firstLine="0"/>
              <w:jc w:val="center"/>
              <w:rPr>
                <w:rFonts w:eastAsia="Calibri"/>
                <w:b w:val="0"/>
                <w:bCs w:val="0"/>
                <w:szCs w:val="24"/>
              </w:rPr>
            </w:pPr>
          </w:p>
          <w:p w14:paraId="6115A5C1" w14:textId="6E0002AF" w:rsidR="00921AD8" w:rsidRPr="002E7AE8" w:rsidRDefault="00921AD8" w:rsidP="00921AD8">
            <w:pPr>
              <w:spacing w:line="240" w:lineRule="auto"/>
              <w:ind w:firstLine="0"/>
              <w:jc w:val="center"/>
              <w:rPr>
                <w:rFonts w:eastAsia="Calibri"/>
                <w:szCs w:val="24"/>
              </w:rPr>
            </w:pPr>
            <w:r w:rsidRPr="008275EC">
              <w:rPr>
                <w:rFonts w:eastAsia="Calibri"/>
                <w:szCs w:val="24"/>
                <w:lang w:val="el-GR"/>
              </w:rPr>
              <w:t>Σταθερά</w:t>
            </w:r>
          </w:p>
          <w:p w14:paraId="6627DCF1" w14:textId="77777777" w:rsidR="00921AD8" w:rsidRPr="002E7AE8" w:rsidRDefault="00921AD8" w:rsidP="008D791C">
            <w:pPr>
              <w:spacing w:line="240" w:lineRule="auto"/>
              <w:ind w:firstLine="0"/>
              <w:jc w:val="center"/>
              <w:rPr>
                <w:rFonts w:eastAsia="Calibri"/>
                <w:szCs w:val="24"/>
              </w:rPr>
            </w:pPr>
            <w:r w:rsidRPr="002E7AE8">
              <w:rPr>
                <w:rFonts w:eastAsia="Calibri"/>
                <w:szCs w:val="24"/>
              </w:rPr>
              <w:t>IRR</w:t>
            </w:r>
          </w:p>
          <w:p w14:paraId="2253EA10" w14:textId="77777777" w:rsidR="00921AD8" w:rsidRPr="002E7AE8" w:rsidRDefault="00921AD8" w:rsidP="008D791C">
            <w:pPr>
              <w:spacing w:line="240" w:lineRule="auto"/>
              <w:ind w:firstLine="0"/>
              <w:jc w:val="center"/>
              <w:rPr>
                <w:rFonts w:eastAsia="Calibri"/>
                <w:szCs w:val="24"/>
              </w:rPr>
            </w:pPr>
            <w:r w:rsidRPr="002E7AE8">
              <w:rPr>
                <w:rFonts w:eastAsia="Calibri"/>
                <w:szCs w:val="24"/>
              </w:rPr>
              <w:t>CR</w:t>
            </w:r>
          </w:p>
          <w:p w14:paraId="0847197E" w14:textId="77777777" w:rsidR="00921AD8" w:rsidRPr="002E7AE8" w:rsidRDefault="00921AD8" w:rsidP="008D791C">
            <w:pPr>
              <w:spacing w:line="240" w:lineRule="auto"/>
              <w:ind w:firstLine="0"/>
              <w:jc w:val="center"/>
              <w:rPr>
                <w:rFonts w:eastAsia="Calibri"/>
                <w:szCs w:val="24"/>
              </w:rPr>
            </w:pPr>
            <w:r w:rsidRPr="002E7AE8">
              <w:rPr>
                <w:rFonts w:eastAsia="Calibri"/>
                <w:szCs w:val="24"/>
              </w:rPr>
              <w:t>SR</w:t>
            </w:r>
          </w:p>
          <w:p w14:paraId="2AA9BAA9" w14:textId="77777777" w:rsidR="00921AD8" w:rsidRPr="002E7AE8" w:rsidRDefault="00921AD8" w:rsidP="008D791C">
            <w:pPr>
              <w:spacing w:line="240" w:lineRule="auto"/>
              <w:ind w:firstLine="0"/>
              <w:jc w:val="center"/>
              <w:rPr>
                <w:rFonts w:eastAsia="Calibri"/>
                <w:szCs w:val="24"/>
              </w:rPr>
            </w:pPr>
            <w:r w:rsidRPr="002E7AE8">
              <w:rPr>
                <w:rFonts w:eastAsia="Calibri"/>
                <w:szCs w:val="24"/>
              </w:rPr>
              <w:t>LR</w:t>
            </w:r>
          </w:p>
        </w:tc>
        <w:tc>
          <w:tcPr>
            <w:tcW w:w="1701" w:type="dxa"/>
            <w:tcBorders>
              <w:top w:val="single" w:sz="4" w:space="0" w:color="002060"/>
              <w:left w:val="single" w:sz="4" w:space="0" w:color="002060"/>
              <w:bottom w:val="single" w:sz="4" w:space="0" w:color="002060"/>
              <w:right w:val="single" w:sz="4" w:space="0" w:color="002060"/>
            </w:tcBorders>
          </w:tcPr>
          <w:p w14:paraId="4C6AAE99" w14:textId="77777777" w:rsidR="00921AD8" w:rsidRPr="002E7AE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rPr>
            </w:pPr>
          </w:p>
          <w:p w14:paraId="33B90F2E" w14:textId="77777777" w:rsid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lang w:val="el-GR"/>
              </w:rPr>
            </w:pPr>
            <w:r w:rsidRPr="00DF7258">
              <w:rPr>
                <w:rFonts w:eastAsia="Calibri"/>
                <w:b/>
                <w:bCs/>
                <w:szCs w:val="24"/>
                <w:lang w:val="el-GR"/>
              </w:rPr>
              <w:t>Εκτιμώμενοι συντελεστές:</w:t>
            </w:r>
          </w:p>
          <w:p w14:paraId="78AF767B" w14:textId="77777777" w:rsid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p>
          <w:p w14:paraId="4BF04AC2" w14:textId="5D9332BA" w:rsid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DF7258">
              <w:rPr>
                <w:rFonts w:eastAsia="Calibri"/>
                <w:szCs w:val="24"/>
                <w:lang w:val="el-GR"/>
              </w:rPr>
              <w:t>-</w:t>
            </w:r>
            <w:r>
              <w:rPr>
                <w:rFonts w:eastAsia="Calibri"/>
                <w:szCs w:val="24"/>
                <w:lang w:val="el-GR"/>
              </w:rPr>
              <w:t>1,415</w:t>
            </w:r>
          </w:p>
          <w:p w14:paraId="321D6C7A" w14:textId="1ABF4799" w:rsid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-14,279</w:t>
            </w:r>
          </w:p>
          <w:p w14:paraId="2DD741EA" w14:textId="0A2BF27D" w:rsid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-42,259</w:t>
            </w:r>
          </w:p>
          <w:p w14:paraId="36086D53" w14:textId="651652FD" w:rsid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355,859</w:t>
            </w:r>
          </w:p>
          <w:p w14:paraId="295AFDF6" w14:textId="5F0D0043" w:rsidR="00921AD8" w:rsidRPr="008275EC"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-0,679</w:t>
            </w:r>
          </w:p>
        </w:tc>
        <w:tc>
          <w:tcPr>
            <w:tcW w:w="1203" w:type="dxa"/>
            <w:gridSpan w:val="2"/>
            <w:tcBorders>
              <w:top w:val="single" w:sz="4" w:space="0" w:color="002060"/>
              <w:left w:val="single" w:sz="4" w:space="0" w:color="002060"/>
              <w:bottom w:val="single" w:sz="4" w:space="0" w:color="002060"/>
              <w:right w:val="single" w:sz="4" w:space="0" w:color="002060"/>
            </w:tcBorders>
          </w:tcPr>
          <w:p w14:paraId="22CD8323" w14:textId="77777777" w:rsid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p>
          <w:p w14:paraId="412C951B" w14:textId="77777777" w:rsid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rPr>
            </w:pPr>
          </w:p>
          <w:p w14:paraId="6660F9E8" w14:textId="77777777" w:rsid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rPr>
            </w:pPr>
            <w:r w:rsidRPr="00DF7258">
              <w:rPr>
                <w:rFonts w:eastAsia="Calibri"/>
                <w:b/>
                <w:bCs/>
                <w:szCs w:val="24"/>
              </w:rPr>
              <w:t>t-tests:</w:t>
            </w:r>
          </w:p>
          <w:p w14:paraId="316035F7" w14:textId="77777777" w:rsid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rPr>
            </w:pPr>
          </w:p>
          <w:p w14:paraId="530301CC" w14:textId="7DE2F61A" w:rsidR="00921AD8" w:rsidRPr="00FD59DB"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DF7258">
              <w:rPr>
                <w:rFonts w:eastAsia="Calibri"/>
                <w:szCs w:val="24"/>
              </w:rPr>
              <w:t>-0,</w:t>
            </w:r>
            <w:r w:rsidR="00FD59DB">
              <w:rPr>
                <w:rFonts w:eastAsia="Calibri"/>
                <w:szCs w:val="24"/>
                <w:lang w:val="el-GR"/>
              </w:rPr>
              <w:t>3103</w:t>
            </w:r>
          </w:p>
          <w:p w14:paraId="418A1E2C" w14:textId="0ECF4B07" w:rsid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w:t>
            </w:r>
            <w:r w:rsidR="00FD59DB">
              <w:rPr>
                <w:rFonts w:eastAsia="Calibri"/>
                <w:szCs w:val="24"/>
                <w:lang w:val="el-GR"/>
              </w:rPr>
              <w:t>1941</w:t>
            </w:r>
          </w:p>
          <w:p w14:paraId="6AB44910" w14:textId="6EAE09C0" w:rsidR="00921AD8" w:rsidRDefault="00FD59DB"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-4,7768</w:t>
            </w:r>
          </w:p>
          <w:p w14:paraId="2163D045" w14:textId="7C2A3E97" w:rsidR="00921AD8" w:rsidRDefault="00FD59DB"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1,8462</w:t>
            </w:r>
          </w:p>
          <w:p w14:paraId="0D39984C" w14:textId="75D8A5D4" w:rsidR="00921AD8" w:rsidRPr="00DF7258" w:rsidRDefault="00FD59DB"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-0,4745</w:t>
            </w:r>
          </w:p>
        </w:tc>
        <w:tc>
          <w:tcPr>
            <w:tcW w:w="1985" w:type="dxa"/>
            <w:tcBorders>
              <w:top w:val="single" w:sz="4" w:space="0" w:color="002060"/>
              <w:left w:val="single" w:sz="4" w:space="0" w:color="002060"/>
              <w:bottom w:val="single" w:sz="4" w:space="0" w:color="002060"/>
              <w:right w:val="single" w:sz="4" w:space="0" w:color="002060"/>
            </w:tcBorders>
          </w:tcPr>
          <w:p w14:paraId="75945C0B" w14:textId="77777777" w:rsidR="00921AD8" w:rsidRPr="008275EC" w:rsidRDefault="00921AD8"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lang w:val="el-GR"/>
              </w:rPr>
            </w:pPr>
            <w:r w:rsidRPr="008275EC">
              <w:rPr>
                <w:rFonts w:eastAsia="Calibri"/>
                <w:b/>
                <w:bCs/>
                <w:szCs w:val="24"/>
                <w:lang w:val="el-GR"/>
              </w:rPr>
              <w:t>Τιμή σημαντικότητας (</w:t>
            </w:r>
            <w:r w:rsidRPr="008275EC">
              <w:rPr>
                <w:rFonts w:eastAsia="Calibri"/>
                <w:b/>
                <w:bCs/>
                <w:szCs w:val="24"/>
                <w:lang w:val="en-GB"/>
              </w:rPr>
              <w:t>p</w:t>
            </w:r>
            <w:r w:rsidRPr="008275EC">
              <w:rPr>
                <w:rFonts w:eastAsia="Calibri"/>
                <w:b/>
                <w:bCs/>
                <w:szCs w:val="24"/>
                <w:lang w:val="el-GR"/>
              </w:rPr>
              <w:t>-</w:t>
            </w:r>
            <w:r w:rsidRPr="008275EC">
              <w:rPr>
                <w:rFonts w:eastAsia="Calibri"/>
                <w:b/>
                <w:bCs/>
                <w:szCs w:val="24"/>
                <w:lang w:val="en-GB"/>
              </w:rPr>
              <w:t>value</w:t>
            </w:r>
            <w:r w:rsidRPr="008275EC">
              <w:rPr>
                <w:rFonts w:eastAsia="Calibri"/>
                <w:b/>
                <w:bCs/>
                <w:szCs w:val="24"/>
                <w:lang w:val="el-GR"/>
              </w:rPr>
              <w:t>):</w:t>
            </w:r>
          </w:p>
          <w:p w14:paraId="77EEEA89" w14:textId="77777777" w:rsidR="00921AD8" w:rsidRDefault="00921AD8" w:rsidP="00921A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Cs w:val="24"/>
                <w:lang w:val="el-GR"/>
              </w:rPr>
            </w:pPr>
          </w:p>
          <w:p w14:paraId="00669098" w14:textId="77777777" w:rsidR="00921AD8" w:rsidRP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921AD8">
              <w:rPr>
                <w:rFonts w:eastAsia="Calibri"/>
                <w:szCs w:val="24"/>
                <w:lang w:val="el-GR"/>
              </w:rPr>
              <w:t>0,757</w:t>
            </w:r>
          </w:p>
          <w:p w14:paraId="79C5B88F" w14:textId="77777777" w:rsidR="00921AD8" w:rsidRP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921AD8">
              <w:rPr>
                <w:rFonts w:eastAsia="Calibri"/>
                <w:szCs w:val="24"/>
                <w:lang w:val="el-GR"/>
              </w:rPr>
              <w:t>0,847</w:t>
            </w:r>
          </w:p>
          <w:p w14:paraId="31463FA3" w14:textId="6B350758" w:rsidR="00921AD8" w:rsidRP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921AD8">
              <w:rPr>
                <w:rFonts w:eastAsia="Calibri"/>
                <w:szCs w:val="24"/>
                <w:lang w:val="el-GR"/>
              </w:rPr>
              <w:t>0,000</w:t>
            </w:r>
            <w:r w:rsidR="00FB4EBA">
              <w:rPr>
                <w:rFonts w:eastAsia="Calibri"/>
                <w:szCs w:val="24"/>
                <w:lang w:val="el-GR"/>
              </w:rPr>
              <w:t>**</w:t>
            </w:r>
          </w:p>
          <w:p w14:paraId="6F04117A" w14:textId="2C559AF3" w:rsidR="00921AD8" w:rsidRPr="00921AD8"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921AD8">
              <w:rPr>
                <w:rFonts w:eastAsia="Calibri"/>
                <w:szCs w:val="24"/>
                <w:lang w:val="el-GR"/>
              </w:rPr>
              <w:t>0,070</w:t>
            </w:r>
            <w:r w:rsidR="00FB4EBA">
              <w:rPr>
                <w:rFonts w:eastAsia="Calibri"/>
                <w:szCs w:val="24"/>
                <w:lang w:val="el-GR"/>
              </w:rPr>
              <w:t>***</w:t>
            </w:r>
          </w:p>
          <w:p w14:paraId="59565584" w14:textId="0A1F572E" w:rsidR="00921AD8" w:rsidRPr="008275EC" w:rsidRDefault="00921AD8" w:rsidP="00921AD8">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921AD8">
              <w:rPr>
                <w:rFonts w:eastAsia="Calibri"/>
                <w:szCs w:val="24"/>
                <w:lang w:val="el-GR"/>
              </w:rPr>
              <w:t>0,637</w:t>
            </w:r>
          </w:p>
        </w:tc>
      </w:tr>
    </w:tbl>
    <w:p w14:paraId="3F81B1E8" w14:textId="77777777" w:rsidR="008275EC" w:rsidRPr="008275EC" w:rsidRDefault="008275EC" w:rsidP="008275EC">
      <w:pPr>
        <w:pBdr>
          <w:top w:val="nil"/>
          <w:left w:val="nil"/>
          <w:bottom w:val="nil"/>
          <w:right w:val="nil"/>
          <w:between w:val="nil"/>
          <w:bar w:val="nil"/>
        </w:pBdr>
        <w:spacing w:before="200" w:after="200"/>
        <w:ind w:firstLine="0"/>
        <w:rPr>
          <w:rFonts w:eastAsia="Calibri"/>
          <w:b/>
          <w:bCs/>
          <w:szCs w:val="24"/>
          <w:u w:val="single"/>
          <w:lang w:val="el-GR"/>
        </w:rPr>
      </w:pPr>
    </w:p>
    <w:p w14:paraId="04B3DF70" w14:textId="77777777" w:rsidR="00017965" w:rsidRDefault="008275EC" w:rsidP="00017965">
      <w:pPr>
        <w:pBdr>
          <w:top w:val="nil"/>
          <w:left w:val="nil"/>
          <w:bottom w:val="nil"/>
          <w:right w:val="nil"/>
          <w:between w:val="nil"/>
          <w:bar w:val="nil"/>
        </w:pBdr>
        <w:spacing w:before="200" w:after="200"/>
        <w:ind w:firstLine="709"/>
        <w:rPr>
          <w:rFonts w:eastAsia="Calibri"/>
          <w:szCs w:val="24"/>
          <w:lang w:val="el-GR"/>
        </w:rPr>
      </w:pPr>
      <w:bookmarkStart w:id="105" w:name="_Hlk85201689"/>
      <w:r w:rsidRPr="008275EC">
        <w:rPr>
          <w:rFonts w:eastAsia="Calibri"/>
          <w:szCs w:val="24"/>
          <w:lang w:val="el-GR"/>
        </w:rPr>
        <w:t xml:space="preserve">Λαμβάνοντας υπόψη τα παραπάνω στοιχεία, η μεταβλητή R έχει την τιμή R=0,655. Η εν λόγω τιμή της μεταβλητής υποδηλώνει ότι υπάρχει κάποια συσχέτιση μεταξύ της εξαρτημένης μεταβλητής </w:t>
      </w:r>
      <w:r w:rsidRPr="008275EC">
        <w:rPr>
          <w:rFonts w:eastAsia="Calibri"/>
          <w:szCs w:val="24"/>
        </w:rPr>
        <w:t>NI</w:t>
      </w:r>
      <w:r w:rsidRPr="008275EC">
        <w:rPr>
          <w:rFonts w:eastAsia="Calibri"/>
          <w:szCs w:val="24"/>
          <w:lang w:val="el-GR"/>
        </w:rPr>
        <w:t xml:space="preserve"> και των ανεξάρτητων μεταβλητών IRR, CR, SR και LR. Η μεταβλητή R</w:t>
      </w:r>
      <w:r w:rsidRPr="008275EC">
        <w:rPr>
          <w:rFonts w:eastAsia="Calibri"/>
          <w:szCs w:val="24"/>
          <w:vertAlign w:val="superscript"/>
          <w:lang w:val="el-GR"/>
        </w:rPr>
        <w:t>2</w:t>
      </w:r>
      <w:r w:rsidRPr="008275EC">
        <w:rPr>
          <w:rFonts w:eastAsia="Calibri"/>
          <w:szCs w:val="24"/>
          <w:lang w:val="el-GR"/>
        </w:rPr>
        <w:t xml:space="preserve"> έχει την τιμή R</w:t>
      </w:r>
      <w:r w:rsidRPr="008275EC">
        <w:rPr>
          <w:rFonts w:eastAsia="Calibri"/>
          <w:szCs w:val="24"/>
          <w:vertAlign w:val="superscript"/>
          <w:lang w:val="el-GR"/>
        </w:rPr>
        <w:t>2</w:t>
      </w:r>
      <w:r w:rsidRPr="008275EC">
        <w:rPr>
          <w:rFonts w:eastAsia="Calibri"/>
          <w:szCs w:val="24"/>
          <w:lang w:val="el-GR"/>
        </w:rPr>
        <w:t xml:space="preserve">=0,43. Η τιμή της μεταβολής υποδηλώνει ότι το μοντέλο εν μέρει καθορίζει τη σχέση μεταξύ των μεταβολών της εξαρτημένης μεταβλητής </w:t>
      </w:r>
      <w:r w:rsidRPr="008275EC">
        <w:rPr>
          <w:rFonts w:eastAsia="Calibri"/>
          <w:szCs w:val="24"/>
        </w:rPr>
        <w:t>NI</w:t>
      </w:r>
      <w:r w:rsidRPr="008275EC">
        <w:rPr>
          <w:rFonts w:eastAsia="Calibri"/>
          <w:szCs w:val="24"/>
          <w:lang w:val="el-GR"/>
        </w:rPr>
        <w:t>, με τις ανεξάρτητες μεταβλητές IRR, CR, SR και LR. Όμως, ο εν λόγω καθορισμός δεν είναι πολύ αποτελεσματικός. Η μεταβλητή προσαρμοσμένο R</w:t>
      </w:r>
      <w:r w:rsidRPr="008275EC">
        <w:rPr>
          <w:rFonts w:eastAsia="Calibri"/>
          <w:szCs w:val="24"/>
          <w:vertAlign w:val="superscript"/>
          <w:lang w:val="el-GR"/>
        </w:rPr>
        <w:t>2</w:t>
      </w:r>
      <w:r w:rsidRPr="008275EC">
        <w:rPr>
          <w:rFonts w:eastAsia="Calibri"/>
          <w:szCs w:val="24"/>
          <w:lang w:val="el-GR"/>
        </w:rPr>
        <w:t xml:space="preserve"> της ανάλυσης αυτής έχει την τιμή Προσαρμοσμένο R</w:t>
      </w:r>
      <w:r w:rsidRPr="008275EC">
        <w:rPr>
          <w:rFonts w:eastAsia="Calibri"/>
          <w:szCs w:val="24"/>
          <w:vertAlign w:val="superscript"/>
          <w:lang w:val="el-GR"/>
        </w:rPr>
        <w:t>2</w:t>
      </w:r>
      <w:r w:rsidRPr="008275EC">
        <w:rPr>
          <w:rFonts w:eastAsia="Calibri"/>
          <w:szCs w:val="24"/>
          <w:lang w:val="el-GR"/>
        </w:rPr>
        <w:t>=0,388, τιμή διαφορετική από τη τιμή της στατιστικής μεταβλητής R</w:t>
      </w:r>
      <w:r w:rsidRPr="008275EC">
        <w:rPr>
          <w:rFonts w:eastAsia="Calibri"/>
          <w:szCs w:val="24"/>
          <w:vertAlign w:val="superscript"/>
          <w:lang w:val="el-GR"/>
        </w:rPr>
        <w:t>2</w:t>
      </w:r>
      <w:r w:rsidRPr="008275EC">
        <w:rPr>
          <w:rFonts w:eastAsia="Calibri"/>
          <w:szCs w:val="24"/>
          <w:lang w:val="el-GR"/>
        </w:rPr>
        <w:t xml:space="preserve"> (R</w:t>
      </w:r>
      <w:r w:rsidRPr="008275EC">
        <w:rPr>
          <w:rFonts w:eastAsia="Calibri"/>
          <w:szCs w:val="24"/>
          <w:vertAlign w:val="superscript"/>
          <w:lang w:val="el-GR"/>
        </w:rPr>
        <w:t>2</w:t>
      </w:r>
      <w:r w:rsidRPr="008275EC">
        <w:rPr>
          <w:rFonts w:eastAsia="Calibri"/>
          <w:szCs w:val="24"/>
          <w:lang w:val="el-GR"/>
        </w:rPr>
        <w:t xml:space="preserve">=0,43, μεγαλύτερη κατά περίπου 10%). Οι διαφορές των τιμών των δύο αυτών μεταβλητών δείχνουν ότι τα αποτελέσματα του δείγματος δεν μπορούν να γενικευτούν στον γενικό πληθυσμό. Στην περίπτωση αυτή, η συνολική τιμή σημαντικότητας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της ανάλυσης είναι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=0,00. Η χαμηλή τιμή του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(0,00 &lt; 0,05) υποδηλώνει ότι τα αποτελέσματα της γραμμικής παλινδρόμησης είναι </w:t>
      </w:r>
      <w:r w:rsidRPr="008275EC">
        <w:rPr>
          <w:rFonts w:eastAsia="Calibri"/>
          <w:szCs w:val="24"/>
          <w:lang w:val="el-GR"/>
        </w:rPr>
        <w:lastRenderedPageBreak/>
        <w:t>στατιστικά σημαντικά.</w:t>
      </w:r>
      <w:r w:rsidR="00017965">
        <w:rPr>
          <w:rFonts w:eastAsia="Calibri"/>
          <w:szCs w:val="24"/>
          <w:lang w:val="el-GR"/>
        </w:rPr>
        <w:t xml:space="preserve"> Το </w:t>
      </w:r>
      <w:r w:rsidR="00017965">
        <w:rPr>
          <w:rFonts w:eastAsia="Calibri"/>
          <w:szCs w:val="24"/>
        </w:rPr>
        <w:t>p</w:t>
      </w:r>
      <w:r w:rsidR="00017965" w:rsidRPr="00017965">
        <w:rPr>
          <w:rFonts w:eastAsia="Calibri"/>
          <w:szCs w:val="24"/>
          <w:lang w:val="el-GR"/>
        </w:rPr>
        <w:t>-</w:t>
      </w:r>
      <w:r w:rsidR="00017965">
        <w:rPr>
          <w:rFonts w:eastAsia="Calibri"/>
          <w:szCs w:val="24"/>
        </w:rPr>
        <w:t>value</w:t>
      </w:r>
      <w:r w:rsidR="00017965" w:rsidRPr="00017965">
        <w:rPr>
          <w:rFonts w:eastAsia="Calibri"/>
          <w:szCs w:val="24"/>
          <w:lang w:val="el-GR"/>
        </w:rPr>
        <w:t xml:space="preserve"> </w:t>
      </w:r>
      <w:r w:rsidR="00017965">
        <w:rPr>
          <w:rFonts w:eastAsia="Calibri"/>
          <w:szCs w:val="24"/>
          <w:lang w:val="el-GR"/>
        </w:rPr>
        <w:t xml:space="preserve">είναι στατιστικά σημαντικό </w:t>
      </w:r>
      <w:bookmarkStart w:id="106" w:name="_Hlk88472376"/>
      <w:r w:rsidR="00017965">
        <w:rPr>
          <w:rFonts w:eastAsia="Calibri"/>
          <w:szCs w:val="24"/>
          <w:lang w:val="el-GR"/>
        </w:rPr>
        <w:t>τόσο σε επίπεδο εμπιστοσύνης 95%, όσο και σε επίπεδο εμπιστοσύνης 99%.</w:t>
      </w:r>
    </w:p>
    <w:bookmarkEnd w:id="106"/>
    <w:p w14:paraId="0FBB27D8" w14:textId="15C6BFAC" w:rsidR="008275EC" w:rsidRPr="008275EC" w:rsidRDefault="008275EC" w:rsidP="00017965">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Συνεχίζοντας, από την προαναφερθείσα γραμμική σχέση βλέπουμε ότι:</w:t>
      </w:r>
    </w:p>
    <w:p w14:paraId="19F44A96" w14:textId="77777777" w:rsidR="008275EC" w:rsidRPr="008275EC" w:rsidRDefault="008275EC" w:rsidP="00017965">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Εάν ο κίνδυνος IRR αυξηθεί κατά 1 μονάδα, </w:t>
      </w:r>
      <w:bookmarkStart w:id="107" w:name="_Hlk85198307"/>
      <w:r w:rsidRPr="008275EC">
        <w:rPr>
          <w:rFonts w:eastAsia="Calibri"/>
          <w:szCs w:val="24"/>
          <w:lang w:val="el-GR"/>
        </w:rPr>
        <w:t xml:space="preserve">τα καθαρά κέρδη/ ζημιές θα μειωθούν </w:t>
      </w:r>
      <w:bookmarkEnd w:id="107"/>
      <w:r w:rsidRPr="008275EC">
        <w:rPr>
          <w:rFonts w:eastAsia="Calibri"/>
          <w:szCs w:val="24"/>
          <w:lang w:val="el-GR"/>
        </w:rPr>
        <w:t>κατά 14,279 (αρνητική σχέση). Όμως, η σχέση δεν είναι στατιστικά σημαντική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0,847 &gt; 0,05).</w:t>
      </w:r>
    </w:p>
    <w:p w14:paraId="4BDE0A0C" w14:textId="2FFBDD67" w:rsidR="008275EC" w:rsidRPr="008275EC" w:rsidRDefault="008275EC" w:rsidP="00017965">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Εάν ο κίνδυνος CR αυξηθεί κατά 1 μονάδα, </w:t>
      </w:r>
      <w:bookmarkStart w:id="108" w:name="_Hlk85198381"/>
      <w:bookmarkStart w:id="109" w:name="_Hlk85198458"/>
      <w:r w:rsidRPr="008275EC">
        <w:rPr>
          <w:rFonts w:eastAsia="Calibri"/>
          <w:szCs w:val="24"/>
          <w:lang w:val="el-GR"/>
        </w:rPr>
        <w:t xml:space="preserve">τα καθαρά κέρδη/ ζημιές </w:t>
      </w:r>
      <w:bookmarkEnd w:id="108"/>
      <w:r w:rsidRPr="008275EC">
        <w:rPr>
          <w:rFonts w:eastAsia="Calibri"/>
          <w:szCs w:val="24"/>
          <w:lang w:val="el-GR"/>
        </w:rPr>
        <w:t xml:space="preserve">θα μειωθούν </w:t>
      </w:r>
      <w:bookmarkEnd w:id="109"/>
      <w:r w:rsidRPr="008275EC">
        <w:rPr>
          <w:rFonts w:eastAsia="Calibri"/>
          <w:szCs w:val="24"/>
          <w:lang w:val="el-GR"/>
        </w:rPr>
        <w:t>κατά 42,259 (αρνητική σχέση). Η σχέση είναι στατιστικά σημαντική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0,000 &lt; 0,05)</w:t>
      </w:r>
      <w:r w:rsidR="00E2183F">
        <w:rPr>
          <w:rFonts w:eastAsia="Calibri"/>
          <w:szCs w:val="24"/>
          <w:lang w:val="el-GR"/>
        </w:rPr>
        <w:t xml:space="preserve">, </w:t>
      </w:r>
      <w:r w:rsidR="00E2183F" w:rsidRPr="00E2183F">
        <w:rPr>
          <w:rFonts w:eastAsia="Calibri"/>
          <w:szCs w:val="24"/>
          <w:lang w:val="el-GR"/>
        </w:rPr>
        <w:t>τόσο σε επίπεδο εμπιστοσύνης 95%, όσο και σε επίπεδο εμπιστοσύνης 99%</w:t>
      </w:r>
      <w:r w:rsidRPr="008275EC">
        <w:rPr>
          <w:rFonts w:eastAsia="Calibri"/>
          <w:szCs w:val="24"/>
          <w:lang w:val="el-GR"/>
        </w:rPr>
        <w:t>.</w:t>
      </w:r>
    </w:p>
    <w:p w14:paraId="203458FC" w14:textId="21A719BE" w:rsidR="008275EC" w:rsidRPr="008275EC" w:rsidRDefault="008275EC" w:rsidP="00017965">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Εάν ο κίνδυνος SR αυξηθεί κατά 1 μονάδα, τα καθαρά κέρδη/ ζημιές θα αυξηθούν κατά 355,859 (θετική σχέση). </w:t>
      </w:r>
      <w:bookmarkStart w:id="110" w:name="_Hlk85198481"/>
      <w:r w:rsidRPr="008275EC">
        <w:rPr>
          <w:rFonts w:eastAsia="Calibri"/>
          <w:szCs w:val="24"/>
          <w:lang w:val="el-GR"/>
        </w:rPr>
        <w:t>Όμως, η σχέση δεν είναι στατιστικά σημαντική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0,07 &gt; 0,05).</w:t>
      </w:r>
      <w:r w:rsidR="00E2183F">
        <w:rPr>
          <w:rFonts w:eastAsia="Calibri"/>
          <w:szCs w:val="24"/>
          <w:lang w:val="el-GR"/>
        </w:rPr>
        <w:t xml:space="preserve"> Η εν λόγω σχέση είναι στατιστικά σημαντική σε επίπεδο εμπιστοσύνης 90% (</w:t>
      </w:r>
      <w:r w:rsidR="00E2183F" w:rsidRPr="008275EC">
        <w:rPr>
          <w:rFonts w:eastAsia="Calibri"/>
          <w:szCs w:val="24"/>
        </w:rPr>
        <w:t>p</w:t>
      </w:r>
      <w:r w:rsidR="00E2183F" w:rsidRPr="008275EC">
        <w:rPr>
          <w:rFonts w:eastAsia="Calibri"/>
          <w:szCs w:val="24"/>
          <w:lang w:val="el-GR"/>
        </w:rPr>
        <w:t>-</w:t>
      </w:r>
      <w:r w:rsidR="00E2183F" w:rsidRPr="008275EC">
        <w:rPr>
          <w:rFonts w:eastAsia="Calibri"/>
          <w:szCs w:val="24"/>
        </w:rPr>
        <w:t>value</w:t>
      </w:r>
      <w:r w:rsidR="00E2183F" w:rsidRPr="008275EC">
        <w:rPr>
          <w:rFonts w:eastAsia="Calibri"/>
          <w:szCs w:val="24"/>
          <w:lang w:val="el-GR"/>
        </w:rPr>
        <w:t xml:space="preserve"> = 0,07 </w:t>
      </w:r>
      <w:r w:rsidR="00E2183F">
        <w:rPr>
          <w:rFonts w:eastAsia="Calibri"/>
          <w:szCs w:val="24"/>
          <w:lang w:val="el-GR"/>
        </w:rPr>
        <w:t>&lt;</w:t>
      </w:r>
      <w:r w:rsidR="00E2183F" w:rsidRPr="008275EC">
        <w:rPr>
          <w:rFonts w:eastAsia="Calibri"/>
          <w:szCs w:val="24"/>
          <w:lang w:val="el-GR"/>
        </w:rPr>
        <w:t xml:space="preserve"> 0,</w:t>
      </w:r>
      <w:r w:rsidR="00E2183F">
        <w:rPr>
          <w:rFonts w:eastAsia="Calibri"/>
          <w:szCs w:val="24"/>
          <w:lang w:val="el-GR"/>
        </w:rPr>
        <w:t>1), αλλά το επίπεδο αυτό είναι μεγαλύτερο από το επίπεδο εμπιστοσύνης που χρησιμοποιήθηκε στην ανάλυση (95%) και δεν λαμβάνεται υπόψη.</w:t>
      </w:r>
    </w:p>
    <w:bookmarkEnd w:id="110"/>
    <w:p w14:paraId="1346813C" w14:textId="77777777" w:rsidR="008275EC" w:rsidRPr="008275EC" w:rsidRDefault="008275EC" w:rsidP="00017965">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Εάν ο κίνδυνος LR αυξηθεί κατά 1 μονάδα, τα καθαρά κέρδη/ ζημιές θα μειωθούν κατά 0,679 (αρνητική σχέση). Όμως, η σχέση δεν είναι στατιστικά σημαντική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0,637 &gt; 0,05).</w:t>
      </w:r>
    </w:p>
    <w:p w14:paraId="12D88B6E" w14:textId="77777777" w:rsidR="008275EC" w:rsidRPr="008275EC" w:rsidRDefault="008275EC" w:rsidP="00017965">
      <w:pPr>
        <w:pBdr>
          <w:top w:val="nil"/>
          <w:left w:val="nil"/>
          <w:bottom w:val="nil"/>
          <w:right w:val="nil"/>
          <w:between w:val="nil"/>
          <w:bar w:val="nil"/>
        </w:pBdr>
        <w:spacing w:before="200" w:after="200"/>
        <w:ind w:firstLine="0"/>
        <w:rPr>
          <w:rFonts w:eastAsia="Calibri"/>
          <w:szCs w:val="24"/>
          <w:lang w:val="el-GR"/>
        </w:rPr>
      </w:pPr>
      <w:r w:rsidRPr="008275EC">
        <w:rPr>
          <w:rFonts w:eastAsia="Calibri"/>
          <w:szCs w:val="24"/>
          <w:lang w:val="el-GR"/>
        </w:rPr>
        <w:t xml:space="preserve">   </w:t>
      </w:r>
    </w:p>
    <w:p w14:paraId="073AED3C" w14:textId="77777777" w:rsidR="00E2183F" w:rsidRDefault="008275EC" w:rsidP="00E2183F">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Το γενικό αποτέλεσμα της δεύτερης γραμμικής ανάλυσης παλινδρόμησης είναι στατιστικά σημαντικό. Ακόμη, στατιστικά σημαντική είναι και μια μεμονωμένη ανεξάρτητη μεταβλητή. Η ύπαρξη αυτής της μεμονωμένης μεταβλητής υποδεικνύεται και από την τιμή </w:t>
      </w:r>
      <w:r w:rsidRPr="008275EC">
        <w:rPr>
          <w:rFonts w:eastAsia="Calibri"/>
          <w:szCs w:val="24"/>
        </w:rPr>
        <w:t>f</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w:t>
      </w:r>
      <w:r w:rsidRPr="008275EC">
        <w:rPr>
          <w:rFonts w:eastAsia="Calibri"/>
          <w:szCs w:val="24"/>
        </w:rPr>
        <w:t>f</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10,355)</w:t>
      </w:r>
      <w:r w:rsidR="00E2183F">
        <w:rPr>
          <w:rFonts w:eastAsia="Calibri"/>
          <w:szCs w:val="24"/>
          <w:lang w:val="el-GR"/>
        </w:rPr>
        <w:t>.</w:t>
      </w:r>
    </w:p>
    <w:p w14:paraId="28AC37FE" w14:textId="3FC1C1F7" w:rsidR="008275EC" w:rsidRPr="008275EC" w:rsidRDefault="008275EC" w:rsidP="00E2183F">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Ολοκληρώνοντας, όσον αφορά τις ερευνητικές υποθέσεις, η παρούσα ανάλυση βασίζεται στην πέμπτη ερευνητική υπόθεση. Λαμβάνοντας υπόψη τα γενικά αποτελέσματα του δείγματος, κάνουμε δεχτή την </w:t>
      </w:r>
      <w:r w:rsidRPr="008275EC">
        <w:rPr>
          <w:rFonts w:eastAsia="Calibri"/>
          <w:szCs w:val="24"/>
          <w:bdr w:val="nil"/>
          <w:lang w:val="el-GR"/>
        </w:rPr>
        <w:t xml:space="preserve">εναλλακτική υπόθεση </w:t>
      </w:r>
      <w:r w:rsidRPr="008275EC">
        <w:rPr>
          <w:rFonts w:eastAsia="Calibri"/>
          <w:szCs w:val="24"/>
          <w:lang w:val="el-GR"/>
        </w:rPr>
        <w:t>(</w:t>
      </w:r>
      <w:r w:rsidRPr="008275EC">
        <w:rPr>
          <w:rFonts w:eastAsia="Arial Unicode MS"/>
          <w:szCs w:val="24"/>
          <w:bdr w:val="nil"/>
          <w:lang w:val="en-GB"/>
        </w:rPr>
        <w:t>H</w:t>
      </w:r>
      <w:r w:rsidRPr="008275EC">
        <w:rPr>
          <w:rFonts w:eastAsia="Arial Unicode MS"/>
          <w:szCs w:val="24"/>
          <w:bdr w:val="nil"/>
          <w:vertAlign w:val="subscript"/>
          <w:lang w:val="el-GR"/>
        </w:rPr>
        <w:t>1</w:t>
      </w:r>
      <w:r w:rsidRPr="008275EC">
        <w:rPr>
          <w:rFonts w:eastAsia="Arial Unicode MS"/>
          <w:szCs w:val="24"/>
          <w:bdr w:val="nil"/>
          <w:lang w:val="el-GR"/>
        </w:rPr>
        <w:t>)</w:t>
      </w:r>
      <w:r w:rsidRPr="008275EC">
        <w:rPr>
          <w:rFonts w:eastAsia="Calibri"/>
          <w:szCs w:val="24"/>
          <w:bdr w:val="nil"/>
          <w:lang w:val="el-GR"/>
        </w:rPr>
        <w:t xml:space="preserve">. Υπάρχει σημαντική επίδραση των μεταβολών των χρηματοπιστωτικών κινδύνων στις μεταβολές των κερδών. Ωστόσο, λαμβάνοντας υπόψη τους μεμονωμένους δείκτες, </w:t>
      </w:r>
      <w:r w:rsidRPr="008275EC">
        <w:rPr>
          <w:rFonts w:eastAsia="Calibri"/>
          <w:szCs w:val="24"/>
          <w:lang w:val="el-GR"/>
        </w:rPr>
        <w:t>κάνουμε δεκτή την μηδενική υπόθεση (</w:t>
      </w:r>
      <w:r w:rsidRPr="008275EC">
        <w:rPr>
          <w:rFonts w:eastAsia="Arial Unicode MS"/>
          <w:szCs w:val="24"/>
          <w:bdr w:val="nil"/>
          <w:lang w:val="en-GB"/>
        </w:rPr>
        <w:t>H</w:t>
      </w:r>
      <w:r w:rsidRPr="008275EC">
        <w:rPr>
          <w:rFonts w:eastAsia="Arial Unicode MS"/>
          <w:szCs w:val="24"/>
          <w:bdr w:val="nil"/>
          <w:vertAlign w:val="subscript"/>
          <w:lang w:val="en-GB"/>
        </w:rPr>
        <w:t>o</w:t>
      </w:r>
      <w:r w:rsidRPr="008275EC">
        <w:rPr>
          <w:rFonts w:eastAsia="Arial Unicode MS"/>
          <w:szCs w:val="24"/>
          <w:bdr w:val="nil"/>
          <w:lang w:val="el-GR"/>
        </w:rPr>
        <w:t>)</w:t>
      </w:r>
      <w:r w:rsidRPr="008275EC">
        <w:rPr>
          <w:rFonts w:eastAsia="Calibri"/>
          <w:szCs w:val="24"/>
          <w:lang w:val="el-GR"/>
        </w:rPr>
        <w:t xml:space="preserve"> για τους </w:t>
      </w:r>
      <w:r w:rsidRPr="008275EC">
        <w:rPr>
          <w:rFonts w:eastAsia="Calibri"/>
          <w:szCs w:val="24"/>
          <w:lang w:val="el-GR"/>
        </w:rPr>
        <w:lastRenderedPageBreak/>
        <w:t xml:space="preserve">χρηματοπιστωτικούς κινδύνους του κινδύνου επιτοκίου -IRR, του κινδύνου φερεγγυότητας -SR και του κινδύνου ρευστότητας -LR. Ενώ, κάνουμε αποδεκτή την εναλλακτική </w:t>
      </w:r>
      <w:r w:rsidRPr="008275EC">
        <w:rPr>
          <w:rFonts w:eastAsia="Calibri"/>
          <w:szCs w:val="24"/>
          <w:bdr w:val="nil"/>
          <w:lang w:val="el-GR"/>
        </w:rPr>
        <w:t xml:space="preserve">υπόθεση </w:t>
      </w:r>
      <w:r w:rsidRPr="008275EC">
        <w:rPr>
          <w:rFonts w:eastAsia="Calibri"/>
          <w:szCs w:val="24"/>
          <w:lang w:val="el-GR"/>
        </w:rPr>
        <w:t>(</w:t>
      </w:r>
      <w:r w:rsidRPr="008275EC">
        <w:rPr>
          <w:rFonts w:eastAsia="Arial Unicode MS"/>
          <w:szCs w:val="24"/>
          <w:bdr w:val="nil"/>
          <w:lang w:val="en-GB"/>
        </w:rPr>
        <w:t>H</w:t>
      </w:r>
      <w:r w:rsidRPr="008275EC">
        <w:rPr>
          <w:rFonts w:eastAsia="Arial Unicode MS"/>
          <w:szCs w:val="24"/>
          <w:bdr w:val="nil"/>
          <w:vertAlign w:val="subscript"/>
          <w:lang w:val="el-GR"/>
        </w:rPr>
        <w:t>1</w:t>
      </w:r>
      <w:r w:rsidRPr="008275EC">
        <w:rPr>
          <w:rFonts w:eastAsia="Arial Unicode MS"/>
          <w:szCs w:val="24"/>
          <w:bdr w:val="nil"/>
          <w:lang w:val="el-GR"/>
        </w:rPr>
        <w:t>) για τον</w:t>
      </w:r>
      <w:r w:rsidRPr="008275EC">
        <w:rPr>
          <w:rFonts w:eastAsia="Calibri"/>
          <w:szCs w:val="24"/>
          <w:lang w:val="el-GR"/>
        </w:rPr>
        <w:t xml:space="preserve"> πιστωτικό κινδύνου -CR. Ουσιαστικά, δεν υπάρχει επίδραση των μεταβολών του κινδύνου επιτοκίου, του κινδύνου φερεγγυότητας και του κινδύνου ρευστότητας </w:t>
      </w:r>
      <w:r w:rsidRPr="008275EC">
        <w:rPr>
          <w:rFonts w:eastAsia="Arial Unicode MS"/>
          <w:szCs w:val="24"/>
          <w:bdr w:val="nil"/>
          <w:lang w:val="el-GR"/>
        </w:rPr>
        <w:t xml:space="preserve">στις μεταβολές των κερδών. Ενώ, </w:t>
      </w:r>
      <w:r w:rsidRPr="008275EC">
        <w:rPr>
          <w:rFonts w:eastAsia="Calibri"/>
          <w:szCs w:val="24"/>
          <w:lang w:val="el-GR"/>
        </w:rPr>
        <w:t xml:space="preserve">υπάρχει σημαντική επίδραση των μεταβολών του πιστωτικού κινδύνου </w:t>
      </w:r>
      <w:r w:rsidRPr="008275EC">
        <w:rPr>
          <w:rFonts w:eastAsia="Arial Unicode MS"/>
          <w:szCs w:val="24"/>
          <w:bdr w:val="nil"/>
          <w:lang w:val="el-GR"/>
        </w:rPr>
        <w:t>στις μεταβολές των κερδών.</w:t>
      </w:r>
    </w:p>
    <w:bookmarkEnd w:id="105"/>
    <w:p w14:paraId="71ECCB42"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243EA7D4" w14:textId="16679509" w:rsidR="008275EC" w:rsidRPr="008275EC" w:rsidRDefault="00E2183F" w:rsidP="00E2183F">
      <w:pPr>
        <w:pBdr>
          <w:top w:val="nil"/>
          <w:left w:val="nil"/>
          <w:bottom w:val="nil"/>
          <w:right w:val="nil"/>
          <w:between w:val="nil"/>
          <w:bar w:val="nil"/>
        </w:pBdr>
        <w:spacing w:before="200" w:after="200"/>
        <w:ind w:firstLine="0"/>
        <w:jc w:val="center"/>
        <w:rPr>
          <w:rFonts w:eastAsia="Calibri"/>
          <w:szCs w:val="24"/>
          <w:lang w:val="el-GR"/>
        </w:rPr>
      </w:pPr>
      <w:r w:rsidRPr="00E2183F">
        <w:rPr>
          <w:rFonts w:eastAsia="Calibri"/>
          <w:szCs w:val="24"/>
          <w:lang w:val="el-GR"/>
        </w:rPr>
        <w:t>4.</w:t>
      </w:r>
      <w:r w:rsidR="008275EC" w:rsidRPr="008275EC">
        <w:rPr>
          <w:rFonts w:eastAsia="Calibri"/>
          <w:szCs w:val="24"/>
          <w:lang w:val="el-GR"/>
        </w:rPr>
        <w:t>2.3. ΤΡΙΤΗ ΠΑΛΙΝΔΡΟΜΗΣΗ</w:t>
      </w:r>
    </w:p>
    <w:p w14:paraId="12B92571" w14:textId="04605B0F" w:rsidR="008275EC" w:rsidRDefault="008275EC" w:rsidP="008275EC">
      <w:pPr>
        <w:pBdr>
          <w:top w:val="nil"/>
          <w:left w:val="nil"/>
          <w:bottom w:val="nil"/>
          <w:right w:val="nil"/>
          <w:between w:val="nil"/>
          <w:bar w:val="nil"/>
        </w:pBdr>
        <w:spacing w:before="200" w:after="200"/>
        <w:ind w:firstLine="0"/>
        <w:rPr>
          <w:rFonts w:eastAsia="Calibri"/>
          <w:szCs w:val="24"/>
          <w:lang w:val="el-GR"/>
        </w:rPr>
      </w:pPr>
      <w:r w:rsidRPr="008275EC">
        <w:rPr>
          <w:rFonts w:eastAsia="Calibri"/>
          <w:szCs w:val="24"/>
          <w:lang w:val="el-GR"/>
        </w:rPr>
        <w:t>Ακολούθως, θα παρουσιάσουμε τα αποτελέσματα της τρίτης γραμμικής ανάλυσης παλινδρόμησης. Η τρίτη ανάλυση αναφέρεται στη σχέση μεταξύ των μεταβολών των κερδών ανά μετοχή των τεσσάρων συστημικών ελληνικών τραπεζών, με τις μεταβολές των χρηματοοικονομικών κινδύνων αυτών. Στην τρίτη γραμμική ανάλυση παλινδρόμησης ως εξαρτημένη μεταβλητή είναι οι μεταβολές των κερδών ανά μετοχή (</w:t>
      </w:r>
      <w:r w:rsidRPr="008275EC">
        <w:rPr>
          <w:rFonts w:eastAsia="Calibri"/>
          <w:szCs w:val="24"/>
        </w:rPr>
        <w:t>EPS</w:t>
      </w:r>
      <w:r w:rsidRPr="008275EC">
        <w:rPr>
          <w:rFonts w:eastAsia="Calibri"/>
          <w:szCs w:val="24"/>
          <w:lang w:val="el-GR"/>
        </w:rPr>
        <w:t xml:space="preserve">), και ως ανεξάρτητες μεταβλητές είναι οι χρηματοοικονομικοί κίνδυνοι των τεσσάρων συστημικών οργανισμών (κίνδυνος επιτοκίου -IRR, πιστωτικός κίνδυνος -CR, κίνδυνος φερεγγυότητας -SR και κίνδυνος ρευστότητας -LR). </w:t>
      </w:r>
    </w:p>
    <w:p w14:paraId="0E289528" w14:textId="026AC0C5" w:rsidR="00E2183F" w:rsidRPr="008275EC" w:rsidRDefault="00E2183F" w:rsidP="00E2183F">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Η </w:t>
      </w:r>
      <w:r>
        <w:rPr>
          <w:rFonts w:eastAsia="Calibri"/>
          <w:szCs w:val="24"/>
          <w:lang w:val="el-GR"/>
        </w:rPr>
        <w:t>τρίτη</w:t>
      </w:r>
      <w:r w:rsidRPr="008275EC">
        <w:rPr>
          <w:rFonts w:eastAsia="Calibri"/>
          <w:szCs w:val="24"/>
          <w:lang w:val="el-GR"/>
        </w:rPr>
        <w:t xml:space="preserve"> γραμμική ανάλυση παλινδρόμησης</w:t>
      </w:r>
      <w:r>
        <w:rPr>
          <w:rFonts w:eastAsia="Calibri"/>
          <w:szCs w:val="24"/>
          <w:lang w:val="el-GR"/>
        </w:rPr>
        <w:t xml:space="preserve"> έδωσε τα παρακάτω αποτελέσματα (υπόδειγμα παλινδρόμησης 3)</w:t>
      </w:r>
      <w:r w:rsidRPr="008275EC">
        <w:rPr>
          <w:rFonts w:eastAsia="Calibri"/>
          <w:szCs w:val="24"/>
          <w:lang w:val="el-GR"/>
        </w:rPr>
        <w:t>:</w:t>
      </w:r>
    </w:p>
    <w:p w14:paraId="5707E4FC" w14:textId="4C75A3D0" w:rsidR="00E2183F" w:rsidRDefault="00E2183F" w:rsidP="00E2183F">
      <w:pPr>
        <w:pBdr>
          <w:top w:val="nil"/>
          <w:left w:val="nil"/>
          <w:bottom w:val="nil"/>
          <w:right w:val="nil"/>
          <w:between w:val="nil"/>
          <w:bar w:val="nil"/>
        </w:pBdr>
        <w:spacing w:before="200" w:after="200"/>
        <w:ind w:firstLine="0"/>
        <w:rPr>
          <w:rFonts w:eastAsia="Calibri"/>
          <w:szCs w:val="24"/>
          <w:lang w:val="el-GR"/>
        </w:rPr>
      </w:pPr>
    </w:p>
    <w:p w14:paraId="581A4518" w14:textId="02D97E18" w:rsidR="002E7AE8" w:rsidRDefault="002E7AE8" w:rsidP="00E2183F">
      <w:pPr>
        <w:pBdr>
          <w:top w:val="nil"/>
          <w:left w:val="nil"/>
          <w:bottom w:val="nil"/>
          <w:right w:val="nil"/>
          <w:between w:val="nil"/>
          <w:bar w:val="nil"/>
        </w:pBdr>
        <w:spacing w:before="200" w:after="200"/>
        <w:ind w:firstLine="0"/>
        <w:rPr>
          <w:rFonts w:eastAsia="Calibri"/>
          <w:szCs w:val="24"/>
          <w:lang w:val="el-GR"/>
        </w:rPr>
      </w:pPr>
    </w:p>
    <w:p w14:paraId="6CC7000F" w14:textId="295A3923" w:rsidR="002E7AE8" w:rsidRDefault="002E7AE8" w:rsidP="00E2183F">
      <w:pPr>
        <w:pBdr>
          <w:top w:val="nil"/>
          <w:left w:val="nil"/>
          <w:bottom w:val="nil"/>
          <w:right w:val="nil"/>
          <w:between w:val="nil"/>
          <w:bar w:val="nil"/>
        </w:pBdr>
        <w:spacing w:before="200" w:after="200"/>
        <w:ind w:firstLine="0"/>
        <w:rPr>
          <w:rFonts w:eastAsia="Calibri"/>
          <w:szCs w:val="24"/>
          <w:lang w:val="el-GR"/>
        </w:rPr>
      </w:pPr>
    </w:p>
    <w:p w14:paraId="054EBDAC" w14:textId="38CF2DAD" w:rsidR="002E7AE8" w:rsidRDefault="002E7AE8" w:rsidP="00E2183F">
      <w:pPr>
        <w:pBdr>
          <w:top w:val="nil"/>
          <w:left w:val="nil"/>
          <w:bottom w:val="nil"/>
          <w:right w:val="nil"/>
          <w:between w:val="nil"/>
          <w:bar w:val="nil"/>
        </w:pBdr>
        <w:spacing w:before="200" w:after="200"/>
        <w:ind w:firstLine="0"/>
        <w:rPr>
          <w:rFonts w:eastAsia="Calibri"/>
          <w:szCs w:val="24"/>
          <w:lang w:val="el-GR"/>
        </w:rPr>
      </w:pPr>
    </w:p>
    <w:p w14:paraId="7F18168B" w14:textId="5A25C463" w:rsidR="002E7AE8" w:rsidRDefault="002E7AE8" w:rsidP="00E2183F">
      <w:pPr>
        <w:pBdr>
          <w:top w:val="nil"/>
          <w:left w:val="nil"/>
          <w:bottom w:val="nil"/>
          <w:right w:val="nil"/>
          <w:between w:val="nil"/>
          <w:bar w:val="nil"/>
        </w:pBdr>
        <w:spacing w:before="200" w:after="200"/>
        <w:ind w:firstLine="0"/>
        <w:rPr>
          <w:rFonts w:eastAsia="Calibri"/>
          <w:szCs w:val="24"/>
          <w:lang w:val="el-GR"/>
        </w:rPr>
      </w:pPr>
    </w:p>
    <w:p w14:paraId="75EBE766" w14:textId="7619214C" w:rsidR="002E7AE8" w:rsidRDefault="002E7AE8" w:rsidP="00E2183F">
      <w:pPr>
        <w:pBdr>
          <w:top w:val="nil"/>
          <w:left w:val="nil"/>
          <w:bottom w:val="nil"/>
          <w:right w:val="nil"/>
          <w:between w:val="nil"/>
          <w:bar w:val="nil"/>
        </w:pBdr>
        <w:spacing w:before="200" w:after="200"/>
        <w:ind w:firstLine="0"/>
        <w:rPr>
          <w:rFonts w:eastAsia="Calibri"/>
          <w:szCs w:val="24"/>
          <w:lang w:val="el-GR"/>
        </w:rPr>
      </w:pPr>
    </w:p>
    <w:p w14:paraId="3D1F5A85" w14:textId="77777777" w:rsidR="002E7AE8" w:rsidRPr="008275EC" w:rsidRDefault="002E7AE8" w:rsidP="00E2183F">
      <w:pPr>
        <w:pBdr>
          <w:top w:val="nil"/>
          <w:left w:val="nil"/>
          <w:bottom w:val="nil"/>
          <w:right w:val="nil"/>
          <w:between w:val="nil"/>
          <w:bar w:val="nil"/>
        </w:pBdr>
        <w:spacing w:before="200" w:after="200"/>
        <w:ind w:firstLine="0"/>
        <w:rPr>
          <w:rFonts w:eastAsia="Calibri"/>
          <w:szCs w:val="24"/>
          <w:lang w:val="el-GR"/>
        </w:rPr>
      </w:pPr>
    </w:p>
    <w:p w14:paraId="79A29D0C" w14:textId="053CEE01" w:rsidR="00E2183F" w:rsidRPr="008275EC" w:rsidRDefault="00E2183F" w:rsidP="00E2183F">
      <w:pPr>
        <w:pBdr>
          <w:top w:val="nil"/>
          <w:left w:val="nil"/>
          <w:bottom w:val="nil"/>
          <w:right w:val="nil"/>
          <w:between w:val="nil"/>
          <w:bar w:val="nil"/>
        </w:pBdr>
        <w:spacing w:before="200" w:after="200"/>
        <w:ind w:firstLine="0"/>
        <w:rPr>
          <w:rFonts w:eastAsia="Calibri"/>
          <w:b/>
          <w:bCs/>
          <w:szCs w:val="24"/>
          <w:lang w:val="el-GR"/>
        </w:rPr>
      </w:pPr>
      <w:r w:rsidRPr="008275EC">
        <w:rPr>
          <w:rFonts w:eastAsia="Calibri"/>
          <w:b/>
          <w:bCs/>
          <w:szCs w:val="24"/>
          <w:lang w:val="el-GR"/>
        </w:rPr>
        <w:lastRenderedPageBreak/>
        <w:t>Π</w:t>
      </w:r>
      <w:r>
        <w:rPr>
          <w:rFonts w:eastAsia="Calibri"/>
          <w:b/>
          <w:bCs/>
          <w:szCs w:val="24"/>
          <w:lang w:val="el-GR"/>
        </w:rPr>
        <w:t>ί</w:t>
      </w:r>
      <w:r w:rsidRPr="008275EC">
        <w:rPr>
          <w:rFonts w:eastAsia="Calibri"/>
          <w:b/>
          <w:bCs/>
          <w:szCs w:val="24"/>
          <w:lang w:val="el-GR"/>
        </w:rPr>
        <w:t xml:space="preserve">νακας </w:t>
      </w:r>
      <w:r>
        <w:rPr>
          <w:rFonts w:eastAsia="Calibri"/>
          <w:b/>
          <w:bCs/>
          <w:szCs w:val="24"/>
          <w:lang w:val="el-GR"/>
        </w:rPr>
        <w:t>3.</w:t>
      </w:r>
      <w:r w:rsidRPr="008275EC">
        <w:rPr>
          <w:rFonts w:eastAsia="Calibri"/>
          <w:b/>
          <w:bCs/>
          <w:szCs w:val="24"/>
          <w:lang w:val="el-GR"/>
        </w:rPr>
        <w:t xml:space="preserve"> </w:t>
      </w:r>
      <w:r w:rsidRPr="006D550B">
        <w:rPr>
          <w:rFonts w:eastAsia="Calibri"/>
          <w:szCs w:val="24"/>
          <w:lang w:val="el-GR"/>
        </w:rPr>
        <w:t>Αποτελ</w:t>
      </w:r>
      <w:r>
        <w:rPr>
          <w:rFonts w:eastAsia="Calibri"/>
          <w:szCs w:val="24"/>
          <w:lang w:val="el-GR"/>
        </w:rPr>
        <w:t>έ</w:t>
      </w:r>
      <w:r w:rsidRPr="006D550B">
        <w:rPr>
          <w:rFonts w:eastAsia="Calibri"/>
          <w:szCs w:val="24"/>
          <w:lang w:val="el-GR"/>
        </w:rPr>
        <w:t xml:space="preserve">σματα </w:t>
      </w:r>
      <w:r>
        <w:rPr>
          <w:rFonts w:eastAsia="Calibri"/>
          <w:szCs w:val="24"/>
          <w:lang w:val="el-GR"/>
        </w:rPr>
        <w:t>Τρίτης</w:t>
      </w:r>
      <w:r w:rsidRPr="006D550B">
        <w:rPr>
          <w:rFonts w:eastAsia="Calibri"/>
          <w:szCs w:val="24"/>
          <w:lang w:val="el-GR"/>
        </w:rPr>
        <w:t xml:space="preserve"> Γραμμικ</w:t>
      </w:r>
      <w:r>
        <w:rPr>
          <w:rFonts w:eastAsia="Calibri"/>
          <w:szCs w:val="24"/>
          <w:lang w:val="el-GR"/>
        </w:rPr>
        <w:t>ή</w:t>
      </w:r>
      <w:r w:rsidRPr="006D550B">
        <w:rPr>
          <w:rFonts w:eastAsia="Calibri"/>
          <w:szCs w:val="24"/>
          <w:lang w:val="el-GR"/>
        </w:rPr>
        <w:t>ς Παλινδρ</w:t>
      </w:r>
      <w:r>
        <w:rPr>
          <w:rFonts w:eastAsia="Calibri"/>
          <w:szCs w:val="24"/>
          <w:lang w:val="el-GR"/>
        </w:rPr>
        <w:t>ό</w:t>
      </w:r>
      <w:r w:rsidRPr="006D550B">
        <w:rPr>
          <w:rFonts w:eastAsia="Calibri"/>
          <w:szCs w:val="24"/>
          <w:lang w:val="el-GR"/>
        </w:rPr>
        <w:t>μησης</w:t>
      </w:r>
      <w:r w:rsidRPr="00DF7258">
        <w:rPr>
          <w:rStyle w:val="af6"/>
          <w:rFonts w:eastAsia="Calibri"/>
          <w:sz w:val="16"/>
          <w:szCs w:val="16"/>
          <w:lang w:val="el-GR"/>
        </w:rPr>
        <w:footnoteReference w:id="20"/>
      </w:r>
      <w:r>
        <w:rPr>
          <w:rFonts w:eastAsia="Calibri"/>
          <w:szCs w:val="24"/>
          <w:lang w:val="el-GR"/>
        </w:rPr>
        <w:t>.</w:t>
      </w:r>
    </w:p>
    <w:tbl>
      <w:tblPr>
        <w:tblStyle w:val="ListTable2-Accent11"/>
        <w:tblW w:w="6307" w:type="dxa"/>
        <w:tblInd w:w="1343" w:type="dxa"/>
        <w:tblLook w:val="04A0" w:firstRow="1" w:lastRow="0" w:firstColumn="1" w:lastColumn="0" w:noHBand="0" w:noVBand="1"/>
      </w:tblPr>
      <w:tblGrid>
        <w:gridCol w:w="1418"/>
        <w:gridCol w:w="1701"/>
        <w:gridCol w:w="958"/>
        <w:gridCol w:w="245"/>
        <w:gridCol w:w="1985"/>
      </w:tblGrid>
      <w:tr w:rsidR="00E2183F" w:rsidRPr="008275EC" w14:paraId="747DBC66" w14:textId="77777777" w:rsidTr="008D79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gridSpan w:val="3"/>
            <w:tcBorders>
              <w:top w:val="single" w:sz="4" w:space="0" w:color="002060"/>
              <w:left w:val="single" w:sz="4" w:space="0" w:color="002060"/>
              <w:bottom w:val="single" w:sz="4" w:space="0" w:color="002060"/>
              <w:right w:val="single" w:sz="4" w:space="0" w:color="002060"/>
            </w:tcBorders>
          </w:tcPr>
          <w:p w14:paraId="6E6FC154" w14:textId="77777777" w:rsidR="00E2183F" w:rsidRPr="008275EC" w:rsidRDefault="00E2183F" w:rsidP="008D791C">
            <w:pPr>
              <w:spacing w:line="240" w:lineRule="auto"/>
              <w:ind w:firstLine="0"/>
              <w:jc w:val="center"/>
              <w:rPr>
                <w:rFonts w:eastAsia="Calibri"/>
                <w:szCs w:val="24"/>
                <w:lang w:val="el-GR"/>
              </w:rPr>
            </w:pPr>
            <w:r w:rsidRPr="008275EC">
              <w:rPr>
                <w:rFonts w:eastAsia="Calibri"/>
                <w:szCs w:val="24"/>
              </w:rPr>
              <w:t>R</w:t>
            </w:r>
          </w:p>
        </w:tc>
        <w:tc>
          <w:tcPr>
            <w:tcW w:w="2230" w:type="dxa"/>
            <w:gridSpan w:val="2"/>
            <w:tcBorders>
              <w:top w:val="single" w:sz="4" w:space="0" w:color="002060"/>
              <w:left w:val="single" w:sz="4" w:space="0" w:color="002060"/>
              <w:bottom w:val="single" w:sz="4" w:space="0" w:color="002060"/>
              <w:right w:val="single" w:sz="4" w:space="0" w:color="002060"/>
            </w:tcBorders>
          </w:tcPr>
          <w:p w14:paraId="5058A9FA" w14:textId="3B42D690" w:rsidR="00E2183F" w:rsidRPr="006D550B" w:rsidRDefault="00472ED6" w:rsidP="008D791C">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b w:val="0"/>
                <w:bCs w:val="0"/>
                <w:szCs w:val="24"/>
                <w:lang w:val="el-GR"/>
              </w:rPr>
            </w:pPr>
            <w:r w:rsidRPr="00472ED6">
              <w:rPr>
                <w:rFonts w:eastAsia="Calibri"/>
                <w:b w:val="0"/>
                <w:bCs w:val="0"/>
                <w:szCs w:val="24"/>
                <w:lang w:val="el-GR"/>
              </w:rPr>
              <w:t>0,477</w:t>
            </w:r>
          </w:p>
        </w:tc>
      </w:tr>
      <w:tr w:rsidR="00E2183F" w:rsidRPr="008275EC" w14:paraId="21AD0227" w14:textId="77777777" w:rsidTr="008D79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gridSpan w:val="3"/>
            <w:tcBorders>
              <w:top w:val="dashed" w:sz="4" w:space="0" w:color="auto"/>
              <w:left w:val="single" w:sz="4" w:space="0" w:color="002060"/>
              <w:bottom w:val="single" w:sz="4" w:space="0" w:color="002060"/>
              <w:right w:val="single" w:sz="4" w:space="0" w:color="002060"/>
            </w:tcBorders>
            <w:shd w:val="clear" w:color="auto" w:fill="002060"/>
          </w:tcPr>
          <w:p w14:paraId="16B19A6E" w14:textId="77777777" w:rsidR="00E2183F" w:rsidRPr="008275EC" w:rsidRDefault="00E2183F" w:rsidP="008D791C">
            <w:pPr>
              <w:spacing w:line="240" w:lineRule="auto"/>
              <w:ind w:firstLine="0"/>
              <w:jc w:val="center"/>
              <w:rPr>
                <w:rFonts w:eastAsia="Calibri"/>
                <w:szCs w:val="24"/>
                <w:lang w:val="el-GR"/>
              </w:rPr>
            </w:pPr>
            <w:r w:rsidRPr="008275EC">
              <w:rPr>
                <w:rFonts w:eastAsia="Calibri"/>
                <w:szCs w:val="24"/>
              </w:rPr>
              <w:t>R</w:t>
            </w:r>
            <w:r w:rsidRPr="008275EC">
              <w:rPr>
                <w:rFonts w:eastAsia="Calibri"/>
                <w:szCs w:val="24"/>
                <w:vertAlign w:val="superscript"/>
              </w:rPr>
              <w:t>2</w:t>
            </w:r>
          </w:p>
        </w:tc>
        <w:tc>
          <w:tcPr>
            <w:tcW w:w="2230" w:type="dxa"/>
            <w:gridSpan w:val="2"/>
            <w:tcBorders>
              <w:top w:val="dashed" w:sz="4" w:space="0" w:color="auto"/>
              <w:left w:val="single" w:sz="4" w:space="0" w:color="002060"/>
              <w:bottom w:val="single" w:sz="4" w:space="0" w:color="002060"/>
              <w:right w:val="single" w:sz="4" w:space="0" w:color="002060"/>
            </w:tcBorders>
            <w:shd w:val="clear" w:color="auto" w:fill="002060"/>
          </w:tcPr>
          <w:p w14:paraId="367E2DBA" w14:textId="72BF1B73" w:rsidR="00E2183F" w:rsidRPr="006D550B" w:rsidRDefault="00472ED6" w:rsidP="008D791C">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r w:rsidRPr="00472ED6">
              <w:rPr>
                <w:rFonts w:eastAsia="Calibri"/>
                <w:szCs w:val="24"/>
                <w:lang w:val="el-GR"/>
              </w:rPr>
              <w:t>0,228</w:t>
            </w:r>
          </w:p>
        </w:tc>
      </w:tr>
      <w:tr w:rsidR="00E2183F" w:rsidRPr="008275EC" w14:paraId="01CBA3A8" w14:textId="77777777" w:rsidTr="008D791C">
        <w:tc>
          <w:tcPr>
            <w:cnfStyle w:val="001000000000" w:firstRow="0" w:lastRow="0" w:firstColumn="1" w:lastColumn="0" w:oddVBand="0" w:evenVBand="0" w:oddHBand="0" w:evenHBand="0" w:firstRowFirstColumn="0" w:firstRowLastColumn="0" w:lastRowFirstColumn="0" w:lastRowLastColumn="0"/>
            <w:tcW w:w="4077" w:type="dxa"/>
            <w:gridSpan w:val="3"/>
            <w:tcBorders>
              <w:top w:val="single" w:sz="4" w:space="0" w:color="002060"/>
              <w:left w:val="single" w:sz="4" w:space="0" w:color="002060"/>
              <w:bottom w:val="single" w:sz="4" w:space="0" w:color="002060"/>
              <w:right w:val="single" w:sz="4" w:space="0" w:color="002060"/>
            </w:tcBorders>
          </w:tcPr>
          <w:p w14:paraId="053853E2" w14:textId="77777777" w:rsidR="00E2183F" w:rsidRPr="008275EC" w:rsidRDefault="00E2183F" w:rsidP="008D791C">
            <w:pPr>
              <w:spacing w:line="240" w:lineRule="auto"/>
              <w:ind w:firstLine="0"/>
              <w:jc w:val="center"/>
              <w:rPr>
                <w:rFonts w:eastAsia="Calibri"/>
                <w:szCs w:val="24"/>
                <w:lang w:val="el-GR"/>
              </w:rPr>
            </w:pPr>
            <w:r w:rsidRPr="008275EC">
              <w:rPr>
                <w:rFonts w:eastAsia="Calibri"/>
                <w:szCs w:val="24"/>
                <w:lang w:val="el-GR"/>
              </w:rPr>
              <w:t xml:space="preserve">Προσαρμοσμένο </w:t>
            </w:r>
            <w:r w:rsidRPr="008275EC">
              <w:rPr>
                <w:rFonts w:eastAsia="Calibri"/>
                <w:szCs w:val="24"/>
              </w:rPr>
              <w:t>R</w:t>
            </w:r>
            <w:r w:rsidRPr="008275EC">
              <w:rPr>
                <w:rFonts w:eastAsia="Calibri"/>
                <w:szCs w:val="24"/>
                <w:vertAlign w:val="superscript"/>
              </w:rPr>
              <w:t>2</w:t>
            </w:r>
          </w:p>
        </w:tc>
        <w:tc>
          <w:tcPr>
            <w:tcW w:w="2230" w:type="dxa"/>
            <w:gridSpan w:val="2"/>
            <w:tcBorders>
              <w:top w:val="single" w:sz="4" w:space="0" w:color="002060"/>
              <w:left w:val="single" w:sz="4" w:space="0" w:color="002060"/>
              <w:bottom w:val="single" w:sz="4" w:space="0" w:color="002060"/>
              <w:right w:val="single" w:sz="4" w:space="0" w:color="002060"/>
            </w:tcBorders>
          </w:tcPr>
          <w:p w14:paraId="5CF6C40A" w14:textId="227E06FB" w:rsidR="00E2183F" w:rsidRPr="006D550B" w:rsidRDefault="00472ED6"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472ED6">
              <w:rPr>
                <w:rFonts w:eastAsia="Calibri"/>
                <w:szCs w:val="24"/>
                <w:lang w:val="el-GR"/>
              </w:rPr>
              <w:t>0,172</w:t>
            </w:r>
          </w:p>
        </w:tc>
      </w:tr>
      <w:tr w:rsidR="00E2183F" w:rsidRPr="008275EC" w14:paraId="1C62F0D2" w14:textId="77777777" w:rsidTr="008D79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gridSpan w:val="3"/>
            <w:tcBorders>
              <w:top w:val="single" w:sz="4" w:space="0" w:color="002060"/>
              <w:left w:val="single" w:sz="4" w:space="0" w:color="002060"/>
              <w:bottom w:val="single" w:sz="4" w:space="0" w:color="002060"/>
              <w:right w:val="single" w:sz="4" w:space="0" w:color="002060"/>
            </w:tcBorders>
            <w:shd w:val="clear" w:color="auto" w:fill="002060"/>
          </w:tcPr>
          <w:p w14:paraId="7C520658" w14:textId="77777777" w:rsidR="00E2183F" w:rsidRPr="008275EC" w:rsidRDefault="00E2183F" w:rsidP="008D791C">
            <w:pPr>
              <w:spacing w:line="240" w:lineRule="auto"/>
              <w:ind w:firstLine="0"/>
              <w:jc w:val="center"/>
              <w:rPr>
                <w:rFonts w:eastAsia="Calibri"/>
                <w:szCs w:val="24"/>
                <w:lang w:val="el-GR"/>
              </w:rPr>
            </w:pPr>
            <w:r w:rsidRPr="008275EC">
              <w:rPr>
                <w:rFonts w:eastAsia="Calibri"/>
                <w:szCs w:val="24"/>
                <w:lang w:val="el-GR"/>
              </w:rPr>
              <w:t xml:space="preserve">Τιμή σημαντικότητας </w:t>
            </w:r>
          </w:p>
          <w:p w14:paraId="71CA6583" w14:textId="77777777" w:rsidR="00E2183F" w:rsidRPr="008275EC" w:rsidRDefault="00E2183F" w:rsidP="008D791C">
            <w:pPr>
              <w:spacing w:line="240" w:lineRule="auto"/>
              <w:ind w:firstLine="0"/>
              <w:jc w:val="center"/>
              <w:rPr>
                <w:rFonts w:eastAsia="Calibri"/>
                <w:szCs w:val="24"/>
                <w:lang w:val="el-GR"/>
              </w:rPr>
            </w:pPr>
            <w:r w:rsidRPr="008275EC">
              <w:rPr>
                <w:rFonts w:eastAsia="Calibri"/>
                <w:szCs w:val="24"/>
                <w:lang w:val="el-GR"/>
              </w:rPr>
              <w:t>(</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w:t>
            </w:r>
          </w:p>
          <w:p w14:paraId="7CA559FB" w14:textId="77777777" w:rsidR="00E2183F" w:rsidRPr="008275EC" w:rsidRDefault="00E2183F" w:rsidP="008D791C">
            <w:pPr>
              <w:spacing w:line="240" w:lineRule="auto"/>
              <w:ind w:firstLine="0"/>
              <w:jc w:val="center"/>
              <w:rPr>
                <w:rFonts w:eastAsia="Calibri"/>
                <w:b w:val="0"/>
                <w:bCs w:val="0"/>
                <w:szCs w:val="24"/>
                <w:lang w:val="el-GR"/>
              </w:rPr>
            </w:pPr>
            <w:r w:rsidRPr="008275EC">
              <w:rPr>
                <w:rFonts w:eastAsia="Calibri"/>
                <w:szCs w:val="24"/>
                <w:lang w:val="el-GR"/>
              </w:rPr>
              <w:t>(</w:t>
            </w:r>
            <w:r w:rsidRPr="008275EC">
              <w:rPr>
                <w:rFonts w:eastAsia="Calibri"/>
                <w:szCs w:val="24"/>
              </w:rPr>
              <w:t>f</w:t>
            </w:r>
            <w:r w:rsidRPr="008275EC">
              <w:rPr>
                <w:rFonts w:eastAsia="Calibri"/>
                <w:szCs w:val="24"/>
                <w:lang w:val="el-GR"/>
              </w:rPr>
              <w:t>-</w:t>
            </w:r>
            <w:r w:rsidRPr="008275EC">
              <w:rPr>
                <w:rFonts w:eastAsia="Calibri"/>
                <w:szCs w:val="24"/>
              </w:rPr>
              <w:t>value</w:t>
            </w:r>
            <w:r w:rsidRPr="008275EC">
              <w:rPr>
                <w:rFonts w:eastAsia="Calibri"/>
                <w:szCs w:val="24"/>
                <w:lang w:val="el-GR"/>
              </w:rPr>
              <w:t>)</w:t>
            </w:r>
          </w:p>
        </w:tc>
        <w:tc>
          <w:tcPr>
            <w:tcW w:w="2230" w:type="dxa"/>
            <w:gridSpan w:val="2"/>
            <w:tcBorders>
              <w:top w:val="single" w:sz="4" w:space="0" w:color="002060"/>
              <w:left w:val="single" w:sz="4" w:space="0" w:color="002060"/>
              <w:bottom w:val="single" w:sz="4" w:space="0" w:color="002060"/>
              <w:right w:val="single" w:sz="4" w:space="0" w:color="002060"/>
            </w:tcBorders>
            <w:shd w:val="clear" w:color="auto" w:fill="002060"/>
          </w:tcPr>
          <w:p w14:paraId="6E79FB13" w14:textId="77777777" w:rsidR="00E2183F" w:rsidRDefault="00E2183F" w:rsidP="008D791C">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p>
          <w:p w14:paraId="4A0C1421" w14:textId="2950B781" w:rsidR="00472ED6" w:rsidRPr="00472ED6" w:rsidRDefault="00472ED6" w:rsidP="00472ED6">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r w:rsidRPr="00472ED6">
              <w:rPr>
                <w:rFonts w:eastAsia="Calibri"/>
                <w:szCs w:val="24"/>
                <w:lang w:val="el-GR"/>
              </w:rPr>
              <w:t>0,006</w:t>
            </w:r>
            <w:r>
              <w:rPr>
                <w:rFonts w:eastAsia="Calibri"/>
                <w:szCs w:val="24"/>
                <w:lang w:val="el-GR"/>
              </w:rPr>
              <w:t>**</w:t>
            </w:r>
          </w:p>
          <w:p w14:paraId="5A4ECEDE" w14:textId="4C6D22C9" w:rsidR="00E2183F" w:rsidRPr="008275EC" w:rsidRDefault="00472ED6" w:rsidP="00472ED6">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szCs w:val="24"/>
                <w:lang w:val="el-GR"/>
              </w:rPr>
            </w:pPr>
            <w:r w:rsidRPr="00472ED6">
              <w:rPr>
                <w:rFonts w:eastAsia="Calibri"/>
                <w:szCs w:val="24"/>
                <w:lang w:val="el-GR"/>
              </w:rPr>
              <w:t>4,057</w:t>
            </w:r>
          </w:p>
        </w:tc>
      </w:tr>
      <w:tr w:rsidR="00E2183F" w:rsidRPr="008275EC" w14:paraId="3D91F3AE" w14:textId="77777777" w:rsidTr="008D791C">
        <w:trPr>
          <w:trHeight w:val="2469"/>
        </w:trPr>
        <w:tc>
          <w:tcPr>
            <w:cnfStyle w:val="001000000000" w:firstRow="0" w:lastRow="0" w:firstColumn="1" w:lastColumn="0" w:oddVBand="0" w:evenVBand="0" w:oddHBand="0" w:evenHBand="0" w:firstRowFirstColumn="0" w:firstRowLastColumn="0" w:lastRowFirstColumn="0" w:lastRowLastColumn="0"/>
            <w:tcW w:w="1418" w:type="dxa"/>
            <w:tcBorders>
              <w:top w:val="single" w:sz="4" w:space="0" w:color="002060"/>
              <w:left w:val="single" w:sz="4" w:space="0" w:color="002060"/>
              <w:bottom w:val="single" w:sz="4" w:space="0" w:color="002060"/>
              <w:right w:val="single" w:sz="4" w:space="0" w:color="002060"/>
            </w:tcBorders>
          </w:tcPr>
          <w:p w14:paraId="1ABD576C" w14:textId="77777777" w:rsidR="00E2183F" w:rsidRPr="00E2183F" w:rsidRDefault="00E2183F" w:rsidP="008D791C">
            <w:pPr>
              <w:spacing w:line="240" w:lineRule="auto"/>
              <w:ind w:firstLine="0"/>
              <w:jc w:val="center"/>
              <w:rPr>
                <w:rFonts w:eastAsia="Calibri"/>
                <w:szCs w:val="24"/>
              </w:rPr>
            </w:pPr>
          </w:p>
          <w:p w14:paraId="6CCF8760" w14:textId="77777777" w:rsidR="00E2183F" w:rsidRPr="00E2183F" w:rsidRDefault="00E2183F" w:rsidP="008D791C">
            <w:pPr>
              <w:spacing w:line="240" w:lineRule="auto"/>
              <w:ind w:firstLine="0"/>
              <w:jc w:val="center"/>
              <w:rPr>
                <w:rFonts w:eastAsia="Calibri"/>
                <w:b w:val="0"/>
                <w:bCs w:val="0"/>
                <w:szCs w:val="24"/>
              </w:rPr>
            </w:pPr>
          </w:p>
          <w:p w14:paraId="7089501A" w14:textId="77777777" w:rsidR="00E2183F" w:rsidRPr="00E2183F" w:rsidRDefault="00E2183F" w:rsidP="008D791C">
            <w:pPr>
              <w:spacing w:line="240" w:lineRule="auto"/>
              <w:ind w:firstLine="0"/>
              <w:rPr>
                <w:rFonts w:eastAsia="Calibri"/>
                <w:b w:val="0"/>
                <w:bCs w:val="0"/>
                <w:szCs w:val="24"/>
              </w:rPr>
            </w:pPr>
          </w:p>
          <w:p w14:paraId="5ED2FABE" w14:textId="77777777" w:rsidR="00E2183F" w:rsidRPr="00E2183F" w:rsidRDefault="00E2183F" w:rsidP="008D791C">
            <w:pPr>
              <w:spacing w:line="240" w:lineRule="auto"/>
              <w:ind w:firstLine="0"/>
              <w:jc w:val="center"/>
              <w:rPr>
                <w:rFonts w:eastAsia="Calibri"/>
                <w:b w:val="0"/>
                <w:bCs w:val="0"/>
                <w:szCs w:val="24"/>
              </w:rPr>
            </w:pPr>
          </w:p>
          <w:p w14:paraId="5EEA2A41" w14:textId="77777777" w:rsidR="00E2183F" w:rsidRPr="008275EC" w:rsidRDefault="00E2183F" w:rsidP="008D791C">
            <w:pPr>
              <w:spacing w:line="240" w:lineRule="auto"/>
              <w:ind w:firstLine="0"/>
              <w:jc w:val="center"/>
              <w:rPr>
                <w:rFonts w:eastAsia="Calibri"/>
                <w:szCs w:val="24"/>
              </w:rPr>
            </w:pPr>
            <w:r w:rsidRPr="008275EC">
              <w:rPr>
                <w:rFonts w:eastAsia="Calibri"/>
                <w:szCs w:val="24"/>
                <w:lang w:val="el-GR"/>
              </w:rPr>
              <w:t>Σταθερά</w:t>
            </w:r>
          </w:p>
          <w:p w14:paraId="5863FAA5" w14:textId="77777777" w:rsidR="00E2183F" w:rsidRPr="008275EC" w:rsidRDefault="00E2183F" w:rsidP="008D791C">
            <w:pPr>
              <w:spacing w:line="240" w:lineRule="auto"/>
              <w:ind w:firstLine="0"/>
              <w:jc w:val="center"/>
              <w:rPr>
                <w:rFonts w:eastAsia="Calibri"/>
                <w:szCs w:val="24"/>
              </w:rPr>
            </w:pPr>
            <w:r w:rsidRPr="008275EC">
              <w:rPr>
                <w:rFonts w:eastAsia="Calibri"/>
                <w:szCs w:val="24"/>
              </w:rPr>
              <w:t>IRR</w:t>
            </w:r>
          </w:p>
          <w:p w14:paraId="0E936F86" w14:textId="77777777" w:rsidR="00E2183F" w:rsidRPr="008275EC" w:rsidRDefault="00E2183F" w:rsidP="008D791C">
            <w:pPr>
              <w:spacing w:line="240" w:lineRule="auto"/>
              <w:ind w:firstLine="0"/>
              <w:jc w:val="center"/>
              <w:rPr>
                <w:rFonts w:eastAsia="Calibri"/>
                <w:szCs w:val="24"/>
              </w:rPr>
            </w:pPr>
            <w:r w:rsidRPr="008275EC">
              <w:rPr>
                <w:rFonts w:eastAsia="Calibri"/>
                <w:szCs w:val="24"/>
              </w:rPr>
              <w:t>CR</w:t>
            </w:r>
          </w:p>
          <w:p w14:paraId="492A2A84" w14:textId="77777777" w:rsidR="00E2183F" w:rsidRPr="008275EC" w:rsidRDefault="00E2183F" w:rsidP="008D791C">
            <w:pPr>
              <w:spacing w:line="240" w:lineRule="auto"/>
              <w:ind w:firstLine="0"/>
              <w:jc w:val="center"/>
              <w:rPr>
                <w:rFonts w:eastAsia="Calibri"/>
                <w:szCs w:val="24"/>
              </w:rPr>
            </w:pPr>
            <w:r w:rsidRPr="008275EC">
              <w:rPr>
                <w:rFonts w:eastAsia="Calibri"/>
                <w:szCs w:val="24"/>
              </w:rPr>
              <w:t>SR</w:t>
            </w:r>
          </w:p>
          <w:p w14:paraId="71ADE4B0" w14:textId="77777777" w:rsidR="00E2183F" w:rsidRPr="008275EC" w:rsidRDefault="00E2183F" w:rsidP="008D791C">
            <w:pPr>
              <w:spacing w:line="240" w:lineRule="auto"/>
              <w:ind w:firstLine="0"/>
              <w:jc w:val="center"/>
              <w:rPr>
                <w:rFonts w:eastAsia="Calibri"/>
                <w:szCs w:val="24"/>
              </w:rPr>
            </w:pPr>
            <w:r w:rsidRPr="008275EC">
              <w:rPr>
                <w:rFonts w:eastAsia="Calibri"/>
                <w:szCs w:val="24"/>
              </w:rPr>
              <w:t>LR</w:t>
            </w:r>
          </w:p>
        </w:tc>
        <w:tc>
          <w:tcPr>
            <w:tcW w:w="1701" w:type="dxa"/>
            <w:tcBorders>
              <w:top w:val="single" w:sz="4" w:space="0" w:color="002060"/>
              <w:left w:val="single" w:sz="4" w:space="0" w:color="002060"/>
              <w:bottom w:val="single" w:sz="4" w:space="0" w:color="002060"/>
              <w:right w:val="single" w:sz="4" w:space="0" w:color="002060"/>
            </w:tcBorders>
          </w:tcPr>
          <w:p w14:paraId="372B32DE" w14:textId="77777777" w:rsidR="00E2183F" w:rsidRPr="00E2183F" w:rsidRDefault="00E2183F"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rPr>
            </w:pPr>
          </w:p>
          <w:p w14:paraId="0F4B3D1A" w14:textId="77777777" w:rsidR="00E2183F" w:rsidRDefault="00E2183F"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lang w:val="el-GR"/>
              </w:rPr>
            </w:pPr>
            <w:r w:rsidRPr="00DF7258">
              <w:rPr>
                <w:rFonts w:eastAsia="Calibri"/>
                <w:b/>
                <w:bCs/>
                <w:szCs w:val="24"/>
                <w:lang w:val="el-GR"/>
              </w:rPr>
              <w:t>Εκτιμώμενοι συντελεστές:</w:t>
            </w:r>
          </w:p>
          <w:p w14:paraId="5473C8BD" w14:textId="77777777" w:rsidR="00E2183F" w:rsidRDefault="00E2183F"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p>
          <w:p w14:paraId="78E8E0A2" w14:textId="2DF9203E" w:rsidR="00E2183F" w:rsidRDefault="00E2183F"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DF7258">
              <w:rPr>
                <w:rFonts w:eastAsia="Calibri"/>
                <w:szCs w:val="24"/>
                <w:lang w:val="el-GR"/>
              </w:rPr>
              <w:t>-</w:t>
            </w:r>
            <w:r>
              <w:rPr>
                <w:rFonts w:eastAsia="Calibri"/>
                <w:szCs w:val="24"/>
                <w:lang w:val="el-GR"/>
              </w:rPr>
              <w:t>1</w:t>
            </w:r>
            <w:r w:rsidR="00472ED6">
              <w:rPr>
                <w:rFonts w:eastAsia="Calibri"/>
                <w:szCs w:val="24"/>
                <w:lang w:val="el-GR"/>
              </w:rPr>
              <w:t>2,875</w:t>
            </w:r>
          </w:p>
          <w:p w14:paraId="18FEAF39" w14:textId="6BA44018" w:rsidR="00E2183F" w:rsidRDefault="00472ED6"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266,694</w:t>
            </w:r>
          </w:p>
          <w:p w14:paraId="7D94E7A8" w14:textId="376910E6" w:rsidR="00E2183F" w:rsidRDefault="00E2183F"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w:t>
            </w:r>
            <w:r w:rsidR="00472ED6">
              <w:rPr>
                <w:rFonts w:eastAsia="Calibri"/>
                <w:szCs w:val="24"/>
                <w:lang w:val="el-GR"/>
              </w:rPr>
              <w:t>14,351</w:t>
            </w:r>
          </w:p>
          <w:p w14:paraId="548822F3" w14:textId="5ED18F57" w:rsidR="00E2183F" w:rsidRDefault="00472ED6"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296,718</w:t>
            </w:r>
          </w:p>
          <w:p w14:paraId="05B19521" w14:textId="412DD62B" w:rsidR="00E2183F" w:rsidRPr="008275EC" w:rsidRDefault="00E2183F"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w:t>
            </w:r>
            <w:r w:rsidR="00472ED6">
              <w:rPr>
                <w:rFonts w:eastAsia="Calibri"/>
                <w:szCs w:val="24"/>
                <w:lang w:val="el-GR"/>
              </w:rPr>
              <w:t>1,155</w:t>
            </w:r>
          </w:p>
        </w:tc>
        <w:tc>
          <w:tcPr>
            <w:tcW w:w="1203" w:type="dxa"/>
            <w:gridSpan w:val="2"/>
            <w:tcBorders>
              <w:top w:val="single" w:sz="4" w:space="0" w:color="002060"/>
              <w:left w:val="single" w:sz="4" w:space="0" w:color="002060"/>
              <w:bottom w:val="single" w:sz="4" w:space="0" w:color="002060"/>
              <w:right w:val="single" w:sz="4" w:space="0" w:color="002060"/>
            </w:tcBorders>
          </w:tcPr>
          <w:p w14:paraId="08B2C618" w14:textId="77777777" w:rsidR="00E2183F" w:rsidRDefault="00E2183F"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p>
          <w:p w14:paraId="4D66358C" w14:textId="77777777" w:rsidR="00E2183F" w:rsidRDefault="00E2183F"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rPr>
            </w:pPr>
          </w:p>
          <w:p w14:paraId="652129DA" w14:textId="77777777" w:rsidR="00E2183F" w:rsidRDefault="00E2183F"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rPr>
            </w:pPr>
            <w:r w:rsidRPr="00DF7258">
              <w:rPr>
                <w:rFonts w:eastAsia="Calibri"/>
                <w:b/>
                <w:bCs/>
                <w:szCs w:val="24"/>
              </w:rPr>
              <w:t>t-tests:</w:t>
            </w:r>
          </w:p>
          <w:p w14:paraId="444F82E9" w14:textId="77777777" w:rsidR="00E2183F" w:rsidRDefault="00E2183F"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rPr>
            </w:pPr>
          </w:p>
          <w:p w14:paraId="6F29870A" w14:textId="77777777" w:rsidR="00E2183F" w:rsidRDefault="00E2183F" w:rsidP="00472ED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DF7258">
              <w:rPr>
                <w:rFonts w:eastAsia="Calibri"/>
                <w:szCs w:val="24"/>
              </w:rPr>
              <w:t>-</w:t>
            </w:r>
            <w:r w:rsidR="00472ED6">
              <w:rPr>
                <w:rFonts w:eastAsia="Calibri"/>
                <w:szCs w:val="24"/>
                <w:lang w:val="el-GR"/>
              </w:rPr>
              <w:t>1,7341</w:t>
            </w:r>
          </w:p>
          <w:p w14:paraId="33F53DE9" w14:textId="77777777" w:rsidR="00472ED6" w:rsidRDefault="00472ED6" w:rsidP="00472ED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2,2264</w:t>
            </w:r>
          </w:p>
          <w:p w14:paraId="07B3DB1A" w14:textId="77777777" w:rsidR="00472ED6" w:rsidRDefault="00472ED6" w:rsidP="00472ED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-0,9961</w:t>
            </w:r>
          </w:p>
          <w:p w14:paraId="1A8E5694" w14:textId="77777777" w:rsidR="00472ED6" w:rsidRDefault="00472ED6" w:rsidP="00472ED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0,9452</w:t>
            </w:r>
          </w:p>
          <w:p w14:paraId="2C7C8047" w14:textId="054156D2" w:rsidR="00472ED6" w:rsidRPr="00472ED6" w:rsidRDefault="00472ED6" w:rsidP="00472ED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Pr>
                <w:rFonts w:eastAsia="Calibri"/>
                <w:szCs w:val="24"/>
                <w:lang w:val="el-GR"/>
              </w:rPr>
              <w:t>-0,4961</w:t>
            </w:r>
          </w:p>
        </w:tc>
        <w:tc>
          <w:tcPr>
            <w:tcW w:w="1985" w:type="dxa"/>
            <w:tcBorders>
              <w:top w:val="single" w:sz="4" w:space="0" w:color="002060"/>
              <w:left w:val="single" w:sz="4" w:space="0" w:color="002060"/>
              <w:bottom w:val="single" w:sz="4" w:space="0" w:color="002060"/>
              <w:right w:val="single" w:sz="4" w:space="0" w:color="002060"/>
            </w:tcBorders>
          </w:tcPr>
          <w:p w14:paraId="3F51E668" w14:textId="77777777" w:rsidR="00E2183F" w:rsidRPr="008275EC" w:rsidRDefault="00E2183F" w:rsidP="008D791C">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b/>
                <w:bCs/>
                <w:szCs w:val="24"/>
                <w:lang w:val="el-GR"/>
              </w:rPr>
            </w:pPr>
            <w:r w:rsidRPr="008275EC">
              <w:rPr>
                <w:rFonts w:eastAsia="Calibri"/>
                <w:b/>
                <w:bCs/>
                <w:szCs w:val="24"/>
                <w:lang w:val="el-GR"/>
              </w:rPr>
              <w:t>Τιμή σημαντικότητας (</w:t>
            </w:r>
            <w:r w:rsidRPr="008275EC">
              <w:rPr>
                <w:rFonts w:eastAsia="Calibri"/>
                <w:b/>
                <w:bCs/>
                <w:szCs w:val="24"/>
                <w:lang w:val="en-GB"/>
              </w:rPr>
              <w:t>p</w:t>
            </w:r>
            <w:r w:rsidRPr="008275EC">
              <w:rPr>
                <w:rFonts w:eastAsia="Calibri"/>
                <w:b/>
                <w:bCs/>
                <w:szCs w:val="24"/>
                <w:lang w:val="el-GR"/>
              </w:rPr>
              <w:t>-</w:t>
            </w:r>
            <w:r w:rsidRPr="008275EC">
              <w:rPr>
                <w:rFonts w:eastAsia="Calibri"/>
                <w:b/>
                <w:bCs/>
                <w:szCs w:val="24"/>
                <w:lang w:val="en-GB"/>
              </w:rPr>
              <w:t>value</w:t>
            </w:r>
            <w:r w:rsidRPr="008275EC">
              <w:rPr>
                <w:rFonts w:eastAsia="Calibri"/>
                <w:b/>
                <w:bCs/>
                <w:szCs w:val="24"/>
                <w:lang w:val="el-GR"/>
              </w:rPr>
              <w:t>):</w:t>
            </w:r>
          </w:p>
          <w:p w14:paraId="4400E99D" w14:textId="77777777" w:rsidR="00E2183F" w:rsidRDefault="00E2183F" w:rsidP="008D791C">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Cs w:val="24"/>
                <w:lang w:val="el-GR"/>
              </w:rPr>
            </w:pPr>
          </w:p>
          <w:p w14:paraId="04C1CADC" w14:textId="0C2C2E26" w:rsidR="00472ED6" w:rsidRPr="00472ED6" w:rsidRDefault="00472ED6" w:rsidP="00472ED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472ED6">
              <w:rPr>
                <w:rFonts w:eastAsia="Calibri"/>
                <w:szCs w:val="24"/>
                <w:lang w:val="el-GR"/>
              </w:rPr>
              <w:t>0,089</w:t>
            </w:r>
            <w:r>
              <w:rPr>
                <w:rFonts w:eastAsia="Calibri"/>
                <w:szCs w:val="24"/>
                <w:lang w:val="el-GR"/>
              </w:rPr>
              <w:t>***</w:t>
            </w:r>
          </w:p>
          <w:p w14:paraId="19900921" w14:textId="189C971F" w:rsidR="00472ED6" w:rsidRPr="00472ED6" w:rsidRDefault="00472ED6" w:rsidP="00472ED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472ED6">
              <w:rPr>
                <w:rFonts w:eastAsia="Calibri"/>
                <w:szCs w:val="24"/>
                <w:lang w:val="el-GR"/>
              </w:rPr>
              <w:t>0,030</w:t>
            </w:r>
            <w:r>
              <w:rPr>
                <w:rFonts w:eastAsia="Calibri"/>
                <w:szCs w:val="24"/>
                <w:lang w:val="el-GR"/>
              </w:rPr>
              <w:t>*</w:t>
            </w:r>
          </w:p>
          <w:p w14:paraId="45BAFB19" w14:textId="77777777" w:rsidR="00472ED6" w:rsidRPr="00472ED6" w:rsidRDefault="00472ED6" w:rsidP="00472ED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472ED6">
              <w:rPr>
                <w:rFonts w:eastAsia="Calibri"/>
                <w:szCs w:val="24"/>
                <w:lang w:val="el-GR"/>
              </w:rPr>
              <w:t>0,324</w:t>
            </w:r>
          </w:p>
          <w:p w14:paraId="313FCC31" w14:textId="77777777" w:rsidR="00472ED6" w:rsidRPr="00472ED6" w:rsidRDefault="00472ED6" w:rsidP="00472ED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472ED6">
              <w:rPr>
                <w:rFonts w:eastAsia="Calibri"/>
                <w:szCs w:val="24"/>
                <w:lang w:val="el-GR"/>
              </w:rPr>
              <w:t>0,349</w:t>
            </w:r>
          </w:p>
          <w:p w14:paraId="277E911E" w14:textId="77895308" w:rsidR="00E2183F" w:rsidRPr="008275EC" w:rsidRDefault="00472ED6" w:rsidP="00472ED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szCs w:val="24"/>
                <w:lang w:val="el-GR"/>
              </w:rPr>
            </w:pPr>
            <w:r w:rsidRPr="00472ED6">
              <w:rPr>
                <w:rFonts w:eastAsia="Calibri"/>
                <w:szCs w:val="24"/>
                <w:lang w:val="el-GR"/>
              </w:rPr>
              <w:t>0,622</w:t>
            </w:r>
          </w:p>
        </w:tc>
      </w:tr>
    </w:tbl>
    <w:p w14:paraId="3A87E964" w14:textId="77777777" w:rsidR="008275EC" w:rsidRPr="008275EC" w:rsidRDefault="008275EC" w:rsidP="008275EC">
      <w:pPr>
        <w:pBdr>
          <w:top w:val="nil"/>
          <w:left w:val="nil"/>
          <w:bottom w:val="nil"/>
          <w:right w:val="nil"/>
          <w:between w:val="nil"/>
          <w:bar w:val="nil"/>
        </w:pBdr>
        <w:spacing w:before="200" w:after="200"/>
        <w:ind w:firstLine="0"/>
        <w:rPr>
          <w:rFonts w:eastAsia="Calibri"/>
          <w:szCs w:val="24"/>
          <w:lang w:val="el-GR"/>
        </w:rPr>
      </w:pPr>
    </w:p>
    <w:p w14:paraId="07ECA9C2" w14:textId="72C7C980" w:rsidR="00AA319C" w:rsidRDefault="008275EC" w:rsidP="00AA319C">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Με βάση τα παραπάνω δεδομένα η μεταβλητή R έχει την τιμή R=0,477. Η τιμή αυτή της μεταβλητής υποδηλώνει ότι υπάρχει μια αποδεκτή, ασθενής συσχέτιση μεταξύ της εξαρτημένης μεταβλητής </w:t>
      </w:r>
      <w:r w:rsidRPr="008275EC">
        <w:rPr>
          <w:rFonts w:eastAsia="Calibri"/>
          <w:szCs w:val="24"/>
        </w:rPr>
        <w:t>EPS</w:t>
      </w:r>
      <w:r w:rsidRPr="008275EC">
        <w:rPr>
          <w:rFonts w:eastAsia="Calibri"/>
          <w:szCs w:val="24"/>
          <w:lang w:val="el-GR"/>
        </w:rPr>
        <w:t xml:space="preserve"> και των ανεξάρτητων μεταβλητών IRR, CR, SR και LR. Η μεταβλητή R</w:t>
      </w:r>
      <w:r w:rsidRPr="008275EC">
        <w:rPr>
          <w:rFonts w:eastAsia="Calibri"/>
          <w:szCs w:val="24"/>
          <w:vertAlign w:val="superscript"/>
          <w:lang w:val="el-GR"/>
        </w:rPr>
        <w:t>2</w:t>
      </w:r>
      <w:r w:rsidRPr="008275EC">
        <w:rPr>
          <w:rFonts w:eastAsia="Calibri"/>
          <w:szCs w:val="24"/>
          <w:lang w:val="el-GR"/>
        </w:rPr>
        <w:t xml:space="preserve"> έχει την τιμή R</w:t>
      </w:r>
      <w:r w:rsidRPr="008275EC">
        <w:rPr>
          <w:rFonts w:eastAsia="Calibri"/>
          <w:szCs w:val="24"/>
          <w:vertAlign w:val="superscript"/>
          <w:lang w:val="el-GR"/>
        </w:rPr>
        <w:t>2</w:t>
      </w:r>
      <w:r w:rsidRPr="008275EC">
        <w:rPr>
          <w:rFonts w:eastAsia="Calibri"/>
          <w:szCs w:val="24"/>
          <w:lang w:val="el-GR"/>
        </w:rPr>
        <w:t xml:space="preserve">=0,228. Η σχετικά χαμηλή τιμή της μεταβλητής δηλώνει ότι η εν λόγω παλινδρόμηση ουσιαστικά δεν καθορίζει τη σχέση μεταξύ των μεταβολών της εξαρτημένης μεταβλητής </w:t>
      </w:r>
      <w:r w:rsidRPr="008275EC">
        <w:rPr>
          <w:rFonts w:eastAsia="Calibri"/>
          <w:szCs w:val="24"/>
        </w:rPr>
        <w:t>EPS</w:t>
      </w:r>
      <w:r w:rsidRPr="008275EC">
        <w:rPr>
          <w:rFonts w:eastAsia="Calibri"/>
          <w:szCs w:val="24"/>
          <w:lang w:val="el-GR"/>
        </w:rPr>
        <w:t>, με τις ανεξάρτητες μεταβλητές IRR, CR, SR και LR. Ακόμη, η μεταβλητή προσαρμοσμένο R</w:t>
      </w:r>
      <w:r w:rsidRPr="008275EC">
        <w:rPr>
          <w:rFonts w:eastAsia="Calibri"/>
          <w:szCs w:val="24"/>
          <w:vertAlign w:val="superscript"/>
          <w:lang w:val="el-GR"/>
        </w:rPr>
        <w:t>2</w:t>
      </w:r>
      <w:r w:rsidRPr="008275EC">
        <w:rPr>
          <w:rFonts w:eastAsia="Calibri"/>
          <w:szCs w:val="24"/>
          <w:lang w:val="el-GR"/>
        </w:rPr>
        <w:t xml:space="preserve"> έχει την τιμή Προσαρμοσμένο R</w:t>
      </w:r>
      <w:r w:rsidRPr="008275EC">
        <w:rPr>
          <w:rFonts w:eastAsia="Calibri"/>
          <w:szCs w:val="24"/>
          <w:vertAlign w:val="superscript"/>
          <w:lang w:val="el-GR"/>
        </w:rPr>
        <w:t>2</w:t>
      </w:r>
      <w:r w:rsidRPr="008275EC">
        <w:rPr>
          <w:rFonts w:eastAsia="Calibri"/>
          <w:szCs w:val="24"/>
          <w:lang w:val="el-GR"/>
        </w:rPr>
        <w:t>=0,172, τιμή κατά περίπου 25% μικρότερη από την τιμή της μεταβλητής R</w:t>
      </w:r>
      <w:r w:rsidRPr="008275EC">
        <w:rPr>
          <w:rFonts w:eastAsia="Calibri"/>
          <w:szCs w:val="24"/>
          <w:vertAlign w:val="superscript"/>
          <w:lang w:val="el-GR"/>
        </w:rPr>
        <w:t>2</w:t>
      </w:r>
      <w:r w:rsidRPr="008275EC">
        <w:rPr>
          <w:rFonts w:eastAsia="Calibri"/>
          <w:szCs w:val="24"/>
          <w:lang w:val="el-GR"/>
        </w:rPr>
        <w:t xml:space="preserve">. Οι διαφορές των τιμών των δύο αυτών μεταβλητών δείχνουν ότι τα αποτελέσματα του δείγματος δεν μπορούν να γενικευτούν στον πληθυσμό. Η τιμή σημαντικότητας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της ανάλυσης είναι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=0,006. Η χαμηλή τιμή του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(0,006 &lt; 0,05) υποδηλώνει ότι τα αποτελέσματα της γραμμικής παλινδρόμησης είναι στατιστικά σημαντικά</w:t>
      </w:r>
      <w:r w:rsidR="00AA319C">
        <w:rPr>
          <w:rFonts w:eastAsia="Calibri"/>
          <w:szCs w:val="24"/>
          <w:lang w:val="el-GR"/>
        </w:rPr>
        <w:t xml:space="preserve"> (τόσο σε επίπεδο εμπιστοσύνης 95%, όσο και σε επίπεδο εμπιστοσύνης 99%)</w:t>
      </w:r>
      <w:r w:rsidRPr="008275EC">
        <w:rPr>
          <w:rFonts w:eastAsia="Calibri"/>
          <w:szCs w:val="24"/>
          <w:lang w:val="el-GR"/>
        </w:rPr>
        <w:t>.</w:t>
      </w:r>
    </w:p>
    <w:p w14:paraId="39B1A6A8" w14:textId="62CDB02D" w:rsidR="008275EC" w:rsidRPr="008275EC" w:rsidRDefault="008275EC" w:rsidP="00AA319C">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Ακολούθως, από τα αποτελέσματα της γραμμικής παλινδρόμησης προκύπτουν οι εξής σχέσεις:</w:t>
      </w:r>
    </w:p>
    <w:p w14:paraId="6F533ACB" w14:textId="77777777" w:rsidR="008275EC" w:rsidRPr="008275EC" w:rsidRDefault="008275EC" w:rsidP="00AA319C">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lastRenderedPageBreak/>
        <w:t xml:space="preserve">Εάν ο κίνδυνος IRR αυξηθεί κατά 1 μονάδα, τα </w:t>
      </w:r>
      <w:bookmarkStart w:id="111" w:name="_Hlk85202535"/>
      <w:r w:rsidRPr="008275EC">
        <w:rPr>
          <w:rFonts w:eastAsia="Calibri"/>
          <w:szCs w:val="24"/>
          <w:lang w:val="el-GR"/>
        </w:rPr>
        <w:t xml:space="preserve">κέρδη ανά μετοχή θα </w:t>
      </w:r>
      <w:bookmarkEnd w:id="111"/>
      <w:r w:rsidRPr="008275EC">
        <w:rPr>
          <w:rFonts w:eastAsia="Calibri"/>
          <w:szCs w:val="24"/>
          <w:lang w:val="el-GR"/>
        </w:rPr>
        <w:t>αυξηθούν κατά 266,694 (θετική σχέση). Η σχέση είναι στατιστικά σημαντική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0,03 &lt; 0,05).</w:t>
      </w:r>
    </w:p>
    <w:p w14:paraId="67036DB0" w14:textId="77777777" w:rsidR="008275EC" w:rsidRPr="008275EC" w:rsidRDefault="008275EC" w:rsidP="00AA319C">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Εάν ο κίνδυνος CR αυξηθεί κατά 1 μονάδα, </w:t>
      </w:r>
      <w:bookmarkStart w:id="112" w:name="_Hlk85202606"/>
      <w:r w:rsidRPr="008275EC">
        <w:rPr>
          <w:rFonts w:eastAsia="Calibri"/>
          <w:szCs w:val="24"/>
          <w:lang w:val="el-GR"/>
        </w:rPr>
        <w:t xml:space="preserve">τα κέρδη ανά μετοχή θα μειωθούν </w:t>
      </w:r>
      <w:bookmarkEnd w:id="112"/>
      <w:r w:rsidRPr="008275EC">
        <w:rPr>
          <w:rFonts w:eastAsia="Calibri"/>
          <w:szCs w:val="24"/>
          <w:lang w:val="el-GR"/>
        </w:rPr>
        <w:t>κατά 14,351 (αρνητική σχέση). Όμως, η σχέση δεν είναι στατιστικά σημαντική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0,324 &gt; 0,05).</w:t>
      </w:r>
    </w:p>
    <w:p w14:paraId="0993E12B" w14:textId="77777777" w:rsidR="008275EC" w:rsidRPr="008275EC" w:rsidRDefault="008275EC" w:rsidP="00AA319C">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 xml:space="preserve">Εάν ο κίνδυνος SR αυξηθεί κατά 1 μονάδα, τα κέρδη ανά μετοχή θα αυξηθούν κατά 296,718 (θετική σχέση). </w:t>
      </w:r>
      <w:bookmarkStart w:id="113" w:name="_Hlk85202550"/>
      <w:r w:rsidRPr="008275EC">
        <w:rPr>
          <w:rFonts w:eastAsia="Calibri"/>
          <w:szCs w:val="24"/>
          <w:lang w:val="el-GR"/>
        </w:rPr>
        <w:t>Όμως, η σχέση δεν είναι στατιστικά σημαντική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0,349 &gt; 0,05).</w:t>
      </w:r>
    </w:p>
    <w:bookmarkEnd w:id="113"/>
    <w:p w14:paraId="0931D523" w14:textId="77777777" w:rsidR="008275EC" w:rsidRPr="008275EC" w:rsidRDefault="008275EC" w:rsidP="00AA319C">
      <w:pPr>
        <w:numPr>
          <w:ilvl w:val="0"/>
          <w:numId w:val="21"/>
        </w:numPr>
        <w:pBdr>
          <w:top w:val="nil"/>
          <w:left w:val="nil"/>
          <w:bottom w:val="nil"/>
          <w:right w:val="nil"/>
          <w:between w:val="nil"/>
          <w:bar w:val="nil"/>
        </w:pBdr>
        <w:spacing w:before="200" w:after="200"/>
        <w:contextualSpacing/>
        <w:rPr>
          <w:rFonts w:eastAsia="Calibri"/>
          <w:szCs w:val="24"/>
          <w:lang w:val="el-GR"/>
        </w:rPr>
      </w:pPr>
      <w:r w:rsidRPr="008275EC">
        <w:rPr>
          <w:rFonts w:eastAsia="Calibri"/>
          <w:szCs w:val="24"/>
          <w:lang w:val="el-GR"/>
        </w:rPr>
        <w:t>Εάν ο κίνδυνος LR αυξηθεί κατά 1 μονάδα, τα κέρδη ανά μετοχή θα μειωθούν κατά 1,155 (αρνητική σχέση). Όμως, η σχέση δεν είναι στατιστικά σημαντικά (</w:t>
      </w:r>
      <w:r w:rsidRPr="008275EC">
        <w:rPr>
          <w:rFonts w:eastAsia="Calibri"/>
          <w:szCs w:val="24"/>
        </w:rPr>
        <w:t>p</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0,622 &gt; 0,05).</w:t>
      </w:r>
    </w:p>
    <w:p w14:paraId="57CA6120" w14:textId="77777777" w:rsidR="008275EC" w:rsidRPr="008275EC" w:rsidRDefault="008275EC" w:rsidP="00AA319C">
      <w:pPr>
        <w:pBdr>
          <w:top w:val="nil"/>
          <w:left w:val="nil"/>
          <w:bottom w:val="nil"/>
          <w:right w:val="nil"/>
          <w:between w:val="nil"/>
          <w:bar w:val="nil"/>
        </w:pBdr>
        <w:spacing w:before="200" w:after="200"/>
        <w:ind w:firstLine="0"/>
        <w:rPr>
          <w:rFonts w:eastAsia="Calibri"/>
          <w:szCs w:val="24"/>
          <w:lang w:val="el-GR"/>
        </w:rPr>
      </w:pPr>
      <w:r w:rsidRPr="008275EC">
        <w:rPr>
          <w:rFonts w:eastAsia="Calibri"/>
          <w:szCs w:val="24"/>
          <w:lang w:val="el-GR"/>
        </w:rPr>
        <w:t xml:space="preserve">   </w:t>
      </w:r>
    </w:p>
    <w:p w14:paraId="5DDB420A" w14:textId="77777777" w:rsidR="00AA319C" w:rsidRDefault="008275EC" w:rsidP="00AA319C">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Επιπλέον, το γενικό αποτέλεσμα της τρίτης γραμμικής ανάλυσης παλινδρόμησης είναι στατιστικά σημαντικό. Όμως, στατιστικά σημαντική είναι και μια μεμονωμένη ανεξάρτητη μεταβλητή, και αυτό φαίνεται και από την τιμή του </w:t>
      </w:r>
      <w:r w:rsidRPr="008275EC">
        <w:rPr>
          <w:rFonts w:eastAsia="Calibri"/>
          <w:szCs w:val="24"/>
        </w:rPr>
        <w:t>f</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w:t>
      </w:r>
      <w:r w:rsidRPr="008275EC">
        <w:rPr>
          <w:rFonts w:eastAsia="Calibri"/>
          <w:szCs w:val="24"/>
        </w:rPr>
        <w:t>f</w:t>
      </w:r>
      <w:r w:rsidRPr="008275EC">
        <w:rPr>
          <w:rFonts w:eastAsia="Calibri"/>
          <w:szCs w:val="24"/>
          <w:lang w:val="el-GR"/>
        </w:rPr>
        <w:t>-</w:t>
      </w:r>
      <w:r w:rsidRPr="008275EC">
        <w:rPr>
          <w:rFonts w:eastAsia="Calibri"/>
          <w:szCs w:val="24"/>
        </w:rPr>
        <w:t>value</w:t>
      </w:r>
      <w:r w:rsidRPr="008275EC">
        <w:rPr>
          <w:rFonts w:eastAsia="Calibri"/>
          <w:szCs w:val="24"/>
          <w:lang w:val="el-GR"/>
        </w:rPr>
        <w:t xml:space="preserve"> = 4,057). Η μεταβλητή αυτή είναι ο κίνδυνος </w:t>
      </w:r>
      <w:r w:rsidRPr="008275EC">
        <w:rPr>
          <w:rFonts w:eastAsia="Calibri"/>
          <w:szCs w:val="24"/>
        </w:rPr>
        <w:t>IRR</w:t>
      </w:r>
      <w:r w:rsidRPr="008275EC">
        <w:rPr>
          <w:rFonts w:eastAsia="Calibri"/>
          <w:szCs w:val="24"/>
          <w:lang w:val="el-GR"/>
        </w:rPr>
        <w:t>.</w:t>
      </w:r>
    </w:p>
    <w:p w14:paraId="48D2FB02" w14:textId="538CDBDB" w:rsidR="008275EC" w:rsidRPr="008275EC" w:rsidRDefault="008275EC" w:rsidP="00AA319C">
      <w:pPr>
        <w:pBdr>
          <w:top w:val="nil"/>
          <w:left w:val="nil"/>
          <w:bottom w:val="nil"/>
          <w:right w:val="nil"/>
          <w:between w:val="nil"/>
          <w:bar w:val="nil"/>
        </w:pBdr>
        <w:spacing w:before="200" w:after="200"/>
        <w:ind w:firstLine="709"/>
        <w:rPr>
          <w:rFonts w:eastAsia="Calibri"/>
          <w:szCs w:val="24"/>
          <w:lang w:val="el-GR"/>
        </w:rPr>
      </w:pPr>
      <w:r w:rsidRPr="008275EC">
        <w:rPr>
          <w:rFonts w:eastAsia="Calibri"/>
          <w:szCs w:val="24"/>
          <w:lang w:val="el-GR"/>
        </w:rPr>
        <w:t xml:space="preserve">Όσον αφορά τις ερευνητικές υποθέσεις, η παρούσα ανάλυση βασίζεται -και αυτή- στην πέμπτη ερευνητική υπόθεση. Λαμβάνοντας υπόψη τα γενικά αποτελέσματα του δείγματος, η </w:t>
      </w:r>
      <w:r w:rsidRPr="008275EC">
        <w:rPr>
          <w:rFonts w:eastAsia="Calibri"/>
          <w:szCs w:val="24"/>
          <w:bdr w:val="nil"/>
          <w:lang w:val="el-GR"/>
        </w:rPr>
        <w:t xml:space="preserve">εναλλακτική υπόθεση </w:t>
      </w:r>
      <w:r w:rsidRPr="008275EC">
        <w:rPr>
          <w:rFonts w:eastAsia="Calibri"/>
          <w:szCs w:val="24"/>
          <w:lang w:val="el-GR"/>
        </w:rPr>
        <w:t>(</w:t>
      </w:r>
      <w:r w:rsidRPr="008275EC">
        <w:rPr>
          <w:rFonts w:eastAsia="Arial Unicode MS"/>
          <w:szCs w:val="24"/>
          <w:bdr w:val="nil"/>
          <w:lang w:val="en-GB"/>
        </w:rPr>
        <w:t>H</w:t>
      </w:r>
      <w:r w:rsidRPr="008275EC">
        <w:rPr>
          <w:rFonts w:eastAsia="Arial Unicode MS"/>
          <w:szCs w:val="24"/>
          <w:bdr w:val="nil"/>
          <w:vertAlign w:val="subscript"/>
          <w:lang w:val="el-GR"/>
        </w:rPr>
        <w:t>1</w:t>
      </w:r>
      <w:r w:rsidRPr="008275EC">
        <w:rPr>
          <w:rFonts w:eastAsia="Arial Unicode MS"/>
          <w:szCs w:val="24"/>
          <w:bdr w:val="nil"/>
          <w:lang w:val="el-GR"/>
        </w:rPr>
        <w:t>)</w:t>
      </w:r>
      <w:r w:rsidRPr="008275EC">
        <w:rPr>
          <w:rFonts w:eastAsia="Calibri"/>
          <w:szCs w:val="24"/>
          <w:bdr w:val="nil"/>
          <w:lang w:val="el-GR"/>
        </w:rPr>
        <w:t xml:space="preserve"> γίνεται δεκτή. </w:t>
      </w:r>
      <w:r w:rsidRPr="008275EC">
        <w:rPr>
          <w:rFonts w:eastAsia="Arial Unicode MS"/>
          <w:szCs w:val="24"/>
          <w:bdr w:val="nil"/>
          <w:lang w:val="el-GR"/>
        </w:rPr>
        <w:t>Υπάρχει σημαντική επίδραση των μεταβολών των χρηματοπιστωτικών κινδύνων στις μεταβολές των κερδών ανά μετοχή</w:t>
      </w:r>
      <w:r w:rsidRPr="008275EC">
        <w:rPr>
          <w:rFonts w:eastAsia="Calibri"/>
          <w:szCs w:val="24"/>
          <w:lang w:val="el-GR"/>
        </w:rPr>
        <w:t xml:space="preserve">. </w:t>
      </w:r>
      <w:r w:rsidRPr="008275EC">
        <w:rPr>
          <w:rFonts w:eastAsia="Calibri"/>
          <w:szCs w:val="24"/>
          <w:bdr w:val="nil"/>
          <w:lang w:val="el-GR"/>
        </w:rPr>
        <w:t xml:space="preserve">Ωστόσο, λαμβάνοντας υπόψη τους μεμονωμένους δείκτες, η εναλλακτική υπόθεση </w:t>
      </w:r>
      <w:r w:rsidRPr="008275EC">
        <w:rPr>
          <w:rFonts w:eastAsia="Calibri"/>
          <w:szCs w:val="24"/>
          <w:lang w:val="el-GR"/>
        </w:rPr>
        <w:t>(</w:t>
      </w:r>
      <w:r w:rsidRPr="008275EC">
        <w:rPr>
          <w:rFonts w:eastAsia="Arial Unicode MS"/>
          <w:szCs w:val="24"/>
          <w:bdr w:val="nil"/>
          <w:lang w:val="en-GB"/>
        </w:rPr>
        <w:t>H</w:t>
      </w:r>
      <w:r w:rsidRPr="008275EC">
        <w:rPr>
          <w:rFonts w:eastAsia="Arial Unicode MS"/>
          <w:szCs w:val="24"/>
          <w:bdr w:val="nil"/>
          <w:vertAlign w:val="subscript"/>
          <w:lang w:val="el-GR"/>
        </w:rPr>
        <w:t>1</w:t>
      </w:r>
      <w:r w:rsidRPr="008275EC">
        <w:rPr>
          <w:rFonts w:eastAsia="Arial Unicode MS"/>
          <w:szCs w:val="24"/>
          <w:bdr w:val="nil"/>
          <w:lang w:val="el-GR"/>
        </w:rPr>
        <w:t>)</w:t>
      </w:r>
      <w:r w:rsidRPr="008275EC">
        <w:rPr>
          <w:rFonts w:eastAsia="Calibri"/>
          <w:szCs w:val="24"/>
          <w:bdr w:val="nil"/>
          <w:lang w:val="el-GR"/>
        </w:rPr>
        <w:t xml:space="preserve"> γίνεται δεκτή μόνο για τον </w:t>
      </w:r>
      <w:r w:rsidRPr="008275EC">
        <w:rPr>
          <w:rFonts w:eastAsia="Calibri"/>
          <w:szCs w:val="24"/>
          <w:lang w:val="el-GR"/>
        </w:rPr>
        <w:t xml:space="preserve">κίνδυνο επιτοκίου -IRR. Από την άλλη πλευρά, η μηδενική υπόθεση γίνεται δεκτή για τον πιστωτικό κινδύνου -CR, τον κίνδυνο φερεγγυότητας -SR και τον κίνδυνο ρευστότητας -LR. Δηλαδή, </w:t>
      </w:r>
      <w:r w:rsidRPr="008275EC">
        <w:rPr>
          <w:rFonts w:eastAsia="Arial Unicode MS"/>
          <w:szCs w:val="24"/>
          <w:bdr w:val="nil"/>
          <w:lang w:val="el-GR"/>
        </w:rPr>
        <w:t>υπάρχει σημαντική επίδραση των μεταβολών του κινδύνου επιτοκίου στις μεταβολές των κερδών ανά μετοχή. Ενώ, δεν υπάρχει επίδραση των μεταβολών του πιστωτικού κινδύνου, του κινδύνου φερεγγυότητας και του κινδύνου ρευστότητας στις μεταβολές των κερδών ανά μετοχή.</w:t>
      </w:r>
      <w:r w:rsidRPr="008275EC">
        <w:rPr>
          <w:rFonts w:eastAsia="Calibri"/>
          <w:i/>
          <w:iCs/>
          <w:szCs w:val="24"/>
          <w:lang w:val="el-GR"/>
        </w:rPr>
        <w:br w:type="page"/>
      </w:r>
    </w:p>
    <w:p w14:paraId="60F46945" w14:textId="01F5DE8C" w:rsidR="008275EC" w:rsidRPr="008275EC" w:rsidRDefault="0074224B" w:rsidP="00C57997">
      <w:pPr>
        <w:pStyle w:val="1"/>
        <w:rPr>
          <w:rFonts w:eastAsia="Times New Roman"/>
        </w:rPr>
      </w:pPr>
      <w:r>
        <w:lastRenderedPageBreak/>
        <w:t xml:space="preserve">κεφαλαιο </w:t>
      </w:r>
      <w:r>
        <w:rPr>
          <w:lang w:val="en-US"/>
        </w:rPr>
        <w:t>V</w:t>
      </w:r>
      <w:r w:rsidRPr="0074224B">
        <w:t xml:space="preserve"> </w:t>
      </w:r>
      <w:r w:rsidRPr="006C3BEF">
        <w:t>-</w:t>
      </w:r>
      <w:r w:rsidR="008275EC" w:rsidRPr="008275EC">
        <w:t xml:space="preserve"> </w:t>
      </w:r>
      <w:bookmarkStart w:id="114" w:name="_Hlk88473985"/>
      <w:r w:rsidR="00D81942" w:rsidRPr="00967E81">
        <w:t>ΣΥΖΗΤΗΣΗ/ΣΥΜΠΕΡΑΣΜΑΤΑ &amp; ΠΡΟΤΑΣΕΙΣ</w:t>
      </w:r>
      <w:r w:rsidR="00E36C0B" w:rsidRPr="00967E81">
        <w:t xml:space="preserve"> </w:t>
      </w:r>
      <w:r w:rsidR="00D81942" w:rsidRPr="00967E81">
        <w:t>ΓΙΑ</w:t>
      </w:r>
      <w:r w:rsidR="006C3BEF" w:rsidRPr="006C3BEF">
        <w:t xml:space="preserve"> </w:t>
      </w:r>
      <w:r w:rsidR="00D81942" w:rsidRPr="00967E81">
        <w:t>ΜΕΛΛΟΝΤΙΚΗ ΕΡΕΥΝΑ</w:t>
      </w:r>
      <w:bookmarkEnd w:id="114"/>
    </w:p>
    <w:p w14:paraId="7A33AF0E" w14:textId="77777777" w:rsidR="00D81942" w:rsidRDefault="008275EC" w:rsidP="00D81942">
      <w:pPr>
        <w:spacing w:before="200" w:after="200"/>
        <w:ind w:firstLine="709"/>
        <w:rPr>
          <w:rFonts w:eastAsia="Calibri"/>
          <w:szCs w:val="24"/>
          <w:lang w:val="el-GR"/>
        </w:rPr>
      </w:pPr>
      <w:r w:rsidRPr="008275EC">
        <w:rPr>
          <w:rFonts w:eastAsia="Calibri"/>
          <w:szCs w:val="24"/>
          <w:lang w:val="el-GR"/>
        </w:rPr>
        <w:t>Στην προηγούμενη ενότητα παρουσιάσαμε αρχικά μερικά σημαντικά στοιχεία της χρηματοοικονομικής απόδοσης των τεσσάρων συστημικών ελληνικών τραπεζών, καθώς και της απόδοσης των τιμών των μετοχών τους. Στη συνέχεια, τα αποτελέσματα των τριών γραμμικών αναλύσεων παλινδρόμησης παρουσιάστηκαν. Σε αυτό το κεφάλαιο θα κάνουμε κριτική ανάλυση των αποτελεσμάτων του προηγούμενου κεφαλαίου, και στο τέλος του κεφαλαίου θα παρουσιάσουμε ιδέες για μελλοντικές έρευνες.</w:t>
      </w:r>
    </w:p>
    <w:p w14:paraId="7DA3A0F2" w14:textId="77777777" w:rsidR="00D81942" w:rsidRDefault="008275EC" w:rsidP="00D81942">
      <w:pPr>
        <w:spacing w:before="200" w:after="200"/>
        <w:ind w:firstLine="709"/>
        <w:rPr>
          <w:rFonts w:eastAsia="Calibri"/>
          <w:szCs w:val="24"/>
          <w:lang w:val="el-GR"/>
        </w:rPr>
      </w:pPr>
      <w:r w:rsidRPr="008275EC">
        <w:rPr>
          <w:rFonts w:eastAsia="Calibri"/>
          <w:szCs w:val="24"/>
          <w:lang w:val="el-GR"/>
        </w:rPr>
        <w:t xml:space="preserve">Αρχικά, η παρούσα διπλωματική εργασία εξετάζει τη σχέση μεταξύ της χρηματοοικονομικής απόδοσης και των χρηματοοικονομικών κινδύνων, με τις αποδόσεις των τιμών των μετοχών, των τεσσάρων ελληνικών συστημικών τραπεζών. Ως δείγμα, χρησιμοποιήθηκαν η Εθνική Τράπεζα της Ελλάδος, η Τράπεζα </w:t>
      </w:r>
      <w:r w:rsidRPr="008275EC">
        <w:rPr>
          <w:rFonts w:eastAsia="Calibri"/>
          <w:szCs w:val="24"/>
        </w:rPr>
        <w:t>Eurobank</w:t>
      </w:r>
      <w:r w:rsidRPr="008275EC">
        <w:rPr>
          <w:rFonts w:eastAsia="Calibri"/>
          <w:szCs w:val="24"/>
          <w:lang w:val="el-GR"/>
        </w:rPr>
        <w:t xml:space="preserve"> </w:t>
      </w:r>
      <w:r w:rsidRPr="008275EC">
        <w:rPr>
          <w:rFonts w:eastAsia="Calibri"/>
          <w:szCs w:val="24"/>
        </w:rPr>
        <w:t>Ergasias</w:t>
      </w:r>
      <w:r w:rsidRPr="008275EC">
        <w:rPr>
          <w:rFonts w:eastAsia="Calibri"/>
          <w:szCs w:val="24"/>
          <w:lang w:val="el-GR"/>
        </w:rPr>
        <w:t xml:space="preserve">, η Τράπεζα Πειραιώς και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Οι τέσσερις αυτές συστημικές τράπεζες είναι σημαντικές για και επηρεάζουν την ελληνική οικονομία. Η υπό εξέταση χρονική περίοδος ήταν 16 έτη (από το 2005 έως το 2020). </w:t>
      </w:r>
    </w:p>
    <w:p w14:paraId="41F07674" w14:textId="77777777" w:rsidR="00D81942" w:rsidRDefault="008275EC" w:rsidP="00D81942">
      <w:pPr>
        <w:spacing w:before="200" w:after="200"/>
        <w:ind w:firstLine="709"/>
        <w:rPr>
          <w:rFonts w:eastAsia="Calibri"/>
          <w:szCs w:val="24"/>
          <w:lang w:val="el-GR"/>
        </w:rPr>
      </w:pPr>
      <w:r w:rsidRPr="008275EC">
        <w:rPr>
          <w:rFonts w:eastAsia="Calibri"/>
          <w:szCs w:val="24"/>
          <w:lang w:val="el-GR"/>
        </w:rPr>
        <w:t>Εν συνεχεία, το 2020, καθαρά κέρδη είχαν μόνο η Εθνική Τράπεζα της Ελλάδος</w:t>
      </w:r>
      <w:r w:rsidRPr="008275EC">
        <w:rPr>
          <w:rFonts w:eastAsia="Calibri"/>
          <w:szCs w:val="24"/>
          <w:vertAlign w:val="superscript"/>
          <w:lang w:val="el-GR"/>
        </w:rPr>
        <w:footnoteReference w:id="21"/>
      </w:r>
      <w:r w:rsidRPr="008275EC">
        <w:rPr>
          <w:rFonts w:eastAsia="Calibri"/>
          <w:szCs w:val="24"/>
          <w:lang w:val="el-GR"/>
        </w:rPr>
        <w:t xml:space="preserve"> και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Για την ακρίβεια,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είχε κατά 150% περίπου περισσότερα κέρδη από την Εθνική Τράπεζα (και ως ακολούθως, και τα υψηλότερα καθαρά κέρδη ανάμεσα στις τέσσερις συστημικές τράπεζες του δείγματος). Στον αντίποδα, η Τράπεζα Πειραιώς και η </w:t>
      </w:r>
      <w:r w:rsidRPr="008275EC">
        <w:rPr>
          <w:rFonts w:eastAsia="Calibri"/>
          <w:szCs w:val="24"/>
        </w:rPr>
        <w:t>Eurobank</w:t>
      </w:r>
      <w:r w:rsidRPr="008275EC">
        <w:rPr>
          <w:rFonts w:eastAsia="Calibri"/>
          <w:szCs w:val="24"/>
          <w:lang w:val="el-GR"/>
        </w:rPr>
        <w:t xml:space="preserve"> εμφάνισαν σημαντικές ζημιές. Ωστόσο, τα προηγούμενα έτη, και ιδιαίτερα κατά τα έτη 2011 με 2012 και γύρω στο 2015, όλοι οι τραπεζικοί οργανισμοί του δείγματος αντιμετώπισαν σημαντικά οικονομικά προβλήματα.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και η </w:t>
      </w:r>
      <w:r w:rsidRPr="008275EC">
        <w:rPr>
          <w:rFonts w:eastAsia="Calibri"/>
          <w:szCs w:val="24"/>
        </w:rPr>
        <w:t>Eurobank</w:t>
      </w:r>
      <w:r w:rsidRPr="008275EC">
        <w:rPr>
          <w:rFonts w:eastAsia="Calibri"/>
          <w:szCs w:val="24"/>
          <w:lang w:val="el-GR"/>
        </w:rPr>
        <w:t xml:space="preserve"> ήταν οι δύο τράπεζες που κατάφεραν σχετικά γρήγορα να αντιμετωπίσουν τα </w:t>
      </w:r>
      <w:r w:rsidRPr="008275EC">
        <w:rPr>
          <w:rFonts w:eastAsia="Calibri"/>
          <w:szCs w:val="24"/>
        </w:rPr>
        <w:t>capital</w:t>
      </w:r>
      <w:r w:rsidRPr="008275EC">
        <w:rPr>
          <w:rFonts w:eastAsia="Calibri"/>
          <w:szCs w:val="24"/>
          <w:lang w:val="el-GR"/>
        </w:rPr>
        <w:t xml:space="preserve"> </w:t>
      </w:r>
      <w:r w:rsidRPr="008275EC">
        <w:rPr>
          <w:rFonts w:eastAsia="Calibri"/>
          <w:szCs w:val="24"/>
        </w:rPr>
        <w:t>controls</w:t>
      </w:r>
      <w:r w:rsidRPr="008275EC">
        <w:rPr>
          <w:rFonts w:eastAsia="Calibri"/>
          <w:szCs w:val="24"/>
          <w:lang w:val="el-GR"/>
        </w:rPr>
        <w:t xml:space="preserve"> και να εμφανίσουν κέρδη κατά το 2016</w:t>
      </w:r>
      <w:r w:rsidRPr="008275EC">
        <w:rPr>
          <w:rFonts w:eastAsia="Calibri"/>
          <w:szCs w:val="24"/>
          <w:vertAlign w:val="superscript"/>
          <w:lang w:val="el-GR"/>
        </w:rPr>
        <w:footnoteReference w:id="22"/>
      </w:r>
      <w:r w:rsidRPr="008275EC">
        <w:rPr>
          <w:rFonts w:eastAsia="Calibri"/>
          <w:szCs w:val="24"/>
          <w:lang w:val="el-GR"/>
        </w:rPr>
        <w:t xml:space="preserve">. Από την άλλη, η Τράπεζα Πειραιώς μετά την επιβολή των </w:t>
      </w:r>
      <w:r w:rsidRPr="008275EC">
        <w:rPr>
          <w:rFonts w:eastAsia="Calibri"/>
          <w:szCs w:val="24"/>
        </w:rPr>
        <w:t>capital</w:t>
      </w:r>
      <w:r w:rsidRPr="008275EC">
        <w:rPr>
          <w:rFonts w:eastAsia="Calibri"/>
          <w:szCs w:val="24"/>
          <w:lang w:val="el-GR"/>
        </w:rPr>
        <w:t xml:space="preserve"> </w:t>
      </w:r>
      <w:r w:rsidRPr="008275EC">
        <w:rPr>
          <w:rFonts w:eastAsia="Calibri"/>
          <w:szCs w:val="24"/>
        </w:rPr>
        <w:t>controls</w:t>
      </w:r>
      <w:r w:rsidRPr="008275EC">
        <w:rPr>
          <w:rFonts w:eastAsia="Calibri"/>
          <w:szCs w:val="24"/>
          <w:lang w:val="el-GR"/>
        </w:rPr>
        <w:t xml:space="preserve"> εμφάνισε πρώτη φορά κέρδη το 2019. Παρόλο αυτά, οι οργανισμοί κάνουν </w:t>
      </w:r>
      <w:r w:rsidRPr="008275EC">
        <w:rPr>
          <w:rFonts w:eastAsia="Calibri"/>
          <w:szCs w:val="24"/>
          <w:lang w:val="el-GR"/>
        </w:rPr>
        <w:lastRenderedPageBreak/>
        <w:t>προσπάθειες ανασυγκρότησης, αφού ακόμη δεν έχουν φθάσει στα επίπεδα απόδοσης που είχαν πριν την εμφάνιση της οικονομικής κρίσης.</w:t>
      </w:r>
    </w:p>
    <w:p w14:paraId="40CF95B4" w14:textId="61D026A1" w:rsidR="00D81942" w:rsidRDefault="008275EC" w:rsidP="00967E81">
      <w:pPr>
        <w:spacing w:before="200" w:after="200"/>
        <w:ind w:firstLine="709"/>
        <w:rPr>
          <w:rFonts w:eastAsia="Calibri"/>
          <w:szCs w:val="24"/>
          <w:lang w:val="el-GR"/>
        </w:rPr>
      </w:pPr>
      <w:r w:rsidRPr="008275EC">
        <w:rPr>
          <w:rFonts w:eastAsia="Calibri"/>
          <w:szCs w:val="24"/>
          <w:lang w:val="el-GR"/>
        </w:rPr>
        <w:t>Ακόμη, όλα τα πιστωτικά ιδρύματα του δείγματος παρουσίασαν χαμηλές επιδόσεις στους δείκτες κερδοφορίας, και ειδικά στον δείκτη απόδοσης περιουσιακών στοιχείων (</w:t>
      </w:r>
      <w:r w:rsidRPr="008275EC">
        <w:rPr>
          <w:rFonts w:eastAsia="Calibri"/>
          <w:szCs w:val="24"/>
        </w:rPr>
        <w:t>ROA</w:t>
      </w:r>
      <w:r w:rsidRPr="008275EC">
        <w:rPr>
          <w:rFonts w:eastAsia="Calibri"/>
          <w:szCs w:val="24"/>
          <w:lang w:val="el-GR"/>
        </w:rPr>
        <w:t>).</w:t>
      </w:r>
      <w:r w:rsidR="00967E81">
        <w:rPr>
          <w:rFonts w:eastAsia="Calibri"/>
          <w:szCs w:val="24"/>
          <w:lang w:val="el-GR"/>
        </w:rPr>
        <w:t xml:space="preserve"> </w:t>
      </w:r>
      <w:r w:rsidRPr="008275EC">
        <w:rPr>
          <w:rFonts w:eastAsia="Calibri"/>
          <w:szCs w:val="24"/>
          <w:lang w:val="el-GR"/>
        </w:rPr>
        <w:t>Οι δείκτες κερδοφορίας δεν φαίνεται να βελτιώνονται με το πέρασμα του χρόνου. Για την ακρίβεια, ο δείκτες απόδοσης ιδίων κεφαλαίων (</w:t>
      </w:r>
      <w:r w:rsidRPr="008275EC">
        <w:rPr>
          <w:rFonts w:eastAsia="Calibri"/>
          <w:szCs w:val="24"/>
        </w:rPr>
        <w:t>ROE</w:t>
      </w:r>
      <w:r w:rsidRPr="008275EC">
        <w:rPr>
          <w:rFonts w:eastAsia="Calibri"/>
          <w:szCs w:val="24"/>
          <w:lang w:val="el-GR"/>
        </w:rPr>
        <w:t xml:space="preserve">) έχει χειροτερεύσει με την πάροδο του χρόνου. Πριν την οικονομική κρίση, όλοι οι εξεταζόμενοι οργανισμοί είχαν μια ικανοποιητική απόδοση των ιδίων κεφαλαίων τους. Αυτή η απόδοση, με τα χρόνια χειροτέρευσε. Επίσης, η χαμηλή αξία του δείκτη </w:t>
      </w:r>
      <w:r w:rsidRPr="008275EC">
        <w:rPr>
          <w:rFonts w:eastAsia="Calibri"/>
          <w:szCs w:val="24"/>
        </w:rPr>
        <w:t>ROA</w:t>
      </w:r>
      <w:r w:rsidRPr="008275EC">
        <w:rPr>
          <w:rFonts w:eastAsia="Calibri"/>
          <w:szCs w:val="24"/>
          <w:lang w:val="el-GR"/>
        </w:rPr>
        <w:t xml:space="preserve"> υποδηλώνει ότι όλοι οι υπό εξέταση χρηματοοικονομική οργανισμοί πρέπει να χρησιμοποιούν πιο αποτελεσματικά τα στοιχεία του ενεργητικού τους (που μετρούνται σε δισεκατομμύρια ευρώ) προκειμένου να αποκτήσουν υψηλότερα έσοδα και κέρδη. </w:t>
      </w:r>
    </w:p>
    <w:p w14:paraId="77189BF8" w14:textId="77777777" w:rsidR="00D81942" w:rsidRDefault="008275EC" w:rsidP="00D81942">
      <w:pPr>
        <w:spacing w:before="200" w:after="200"/>
        <w:ind w:firstLine="709"/>
        <w:rPr>
          <w:rFonts w:eastAsia="Calibri"/>
          <w:szCs w:val="24"/>
          <w:lang w:val="el-GR"/>
        </w:rPr>
      </w:pPr>
      <w:r w:rsidRPr="008275EC">
        <w:rPr>
          <w:rFonts w:eastAsia="Calibri"/>
          <w:szCs w:val="24"/>
          <w:lang w:val="el-GR"/>
        </w:rPr>
        <w:t xml:space="preserve">Από την άλλη μεριά, πριν το ξέσπασμα της οικονομικής κρίσης (2005 – 2008), ο δείκτης </w:t>
      </w:r>
      <w:r w:rsidRPr="008275EC">
        <w:rPr>
          <w:rFonts w:eastAsia="Calibri"/>
          <w:szCs w:val="24"/>
        </w:rPr>
        <w:t>ROE</w:t>
      </w:r>
      <w:r w:rsidRPr="008275EC">
        <w:rPr>
          <w:rFonts w:eastAsia="Calibri"/>
          <w:szCs w:val="24"/>
          <w:lang w:val="el-GR"/>
        </w:rPr>
        <w:t xml:space="preserve"> των τραπεζών είχε αξιοσημείωτη απόδοση, με μερικές χρονιές της αποδόσεις να κυμαίνονται κοντά στο 20%. Όπως φαίνεται, πριν την οικονομική κρίση, οι υπό εξέταση χρηματοοικονομικοί οργανισμοί ήξεραν πως να χρησιμοποιήσουν αποτελεσματικά τα ίδια κεφάλαια τους για να αυξήσουν τα έσοδα και τα κέρδη τους. Όμως, κατά τα χρόνια της οικονομικής κρίσης και μετά από αυτή, οι εν λόγω οργανισμοί φαίνεται να μην έχουν αυτή την ικανότητα. Ενώ, σε μερικές περιπτώσεις ο δείκτης </w:t>
      </w:r>
      <w:r w:rsidRPr="008275EC">
        <w:rPr>
          <w:rFonts w:eastAsia="Calibri"/>
          <w:szCs w:val="24"/>
        </w:rPr>
        <w:t>ROE</w:t>
      </w:r>
      <w:r w:rsidRPr="008275EC">
        <w:rPr>
          <w:rFonts w:eastAsia="Calibri"/>
          <w:szCs w:val="24"/>
          <w:lang w:val="el-GR"/>
        </w:rPr>
        <w:t xml:space="preserve"> εμφάνισε και ακραίες τιμές. Κατά το 2020, στον εν λόγω δείκτη, καλύτερη απόδοση φαίνεται να έχει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Αλλά, η απόδοση της αυτή είναι πολύ μικρή για τα αποδεκτά όρια του </w:t>
      </w:r>
      <w:r w:rsidRPr="008275EC">
        <w:rPr>
          <w:rFonts w:eastAsia="Calibri"/>
          <w:szCs w:val="24"/>
        </w:rPr>
        <w:t>ROE</w:t>
      </w:r>
      <w:r w:rsidRPr="008275EC">
        <w:rPr>
          <w:rFonts w:eastAsia="Calibri"/>
          <w:szCs w:val="24"/>
          <w:lang w:val="el-GR"/>
        </w:rPr>
        <w:t>.</w:t>
      </w:r>
    </w:p>
    <w:p w14:paraId="41812CA2" w14:textId="77777777" w:rsidR="00D81942" w:rsidRDefault="008275EC" w:rsidP="00D81942">
      <w:pPr>
        <w:spacing w:before="200" w:after="200"/>
        <w:ind w:firstLine="709"/>
        <w:rPr>
          <w:rFonts w:eastAsia="Calibri"/>
          <w:szCs w:val="24"/>
          <w:lang w:val="el-GR"/>
        </w:rPr>
      </w:pPr>
      <w:r w:rsidRPr="008275EC">
        <w:rPr>
          <w:rFonts w:eastAsia="Calibri"/>
          <w:szCs w:val="24"/>
          <w:lang w:val="el-GR"/>
        </w:rPr>
        <w:t xml:space="preserve">Η Εθνική Τράπεζα είναι ο οργανισμός με τα υψηλότερα περιουσιακά στοιχεία τόσο κατά το 2005 όσο και κατά το 2020. Στο μεσοδιάστημα, όμως, υπήρξαν αλλαγές, ενώ όλοι οι οργανισμοί αύξησαν τα περιουσιακά τους στοιχεία μεταξύ 2005 με 2020. Η πιο σημαντική από αυτές τις αυξήσεις ενεργητικού ήταν αυτή της Τράπεζας Πειραιώς, η οποία αύξησε το ενεργητικό της κατά περίπου 200% (από € 23,50 δις. σε € 71,50 δις.). Ωστόσο, παρά την τεράστια αύξηση του ενεργητικού της, η Τράπεζα Πειραιώς εμφάνισε και μια αντίστοιχη αύξηση στις συνολικές της υποχρεώσεις, οι οποίες αυξήθηκαν κατά 195%, ακολουθώντας κυρίως την αύξηση των βραχυπρόθεσμων υποχρεώσεων (αύξηση 200%). Παρόλο που η αύξηση των υποχρεώσεων βασίζεται κυρίως στην αύξηση των βραχυπρόθεσμων υποχρεώσεων, η </w:t>
      </w:r>
      <w:r w:rsidRPr="008275EC">
        <w:rPr>
          <w:rFonts w:eastAsia="Calibri"/>
          <w:szCs w:val="24"/>
          <w:lang w:val="el-GR"/>
        </w:rPr>
        <w:lastRenderedPageBreak/>
        <w:t>Τράπεζα Πειραιώς θα πρέπει να παρακολουθεί τις μεταβολές στις υποχρεώσεις της, προκειμένου να μην αντιμετωπίσει περαιτέρω προβλήματα ρευστότητας και αθέτησης, και να συνεχίσει να βελτιώνει τις οικονομικές της επιδόσεις. Η Τράπεζα Πειραιώς είχε ακόμη και την μεγαλύτερη αύξηση στα ίδια κεφάλαια (345%).</w:t>
      </w:r>
    </w:p>
    <w:p w14:paraId="1D9BC33F" w14:textId="77777777" w:rsidR="00D81942" w:rsidRDefault="008275EC" w:rsidP="00D81942">
      <w:pPr>
        <w:spacing w:before="200" w:after="200"/>
        <w:ind w:firstLine="709"/>
        <w:rPr>
          <w:rFonts w:eastAsia="Calibri"/>
          <w:szCs w:val="24"/>
          <w:lang w:val="el-GR"/>
        </w:rPr>
      </w:pPr>
      <w:r w:rsidRPr="008275EC">
        <w:rPr>
          <w:rFonts w:eastAsia="Calibri"/>
          <w:szCs w:val="24"/>
          <w:lang w:val="el-GR"/>
        </w:rPr>
        <w:t>Ακολούθως, η Εθνική Τράπεζα της Ελλάδος ήταν ο οργανισμός με τη μικρότερη αύξηση ενεργητικού (περίπου 30%). Αντίστοιχη αύξηση είχαν και οι συνολικές υποχρεώσεις της τράπεζας. Ενώ, λίγη μεγαλύτερη ήταν η αύξηση των βραχυπρόθεσμων υποχρεώσεων. Η Εθνική Τράπεζα παρουσίασε ακόμη την μικρότερη αύξηση ιδίων κεφαλαίων (17%). Οι άλλοι δύο τραπεζικοί οργανισμοί του δείγματος (</w:t>
      </w:r>
      <w:r w:rsidRPr="008275EC">
        <w:rPr>
          <w:rFonts w:eastAsia="Calibri"/>
          <w:szCs w:val="24"/>
        </w:rPr>
        <w:t>Eurobank</w:t>
      </w:r>
      <w:r w:rsidRPr="008275EC">
        <w:rPr>
          <w:rFonts w:eastAsia="Calibri"/>
          <w:szCs w:val="24"/>
          <w:lang w:val="el-GR"/>
        </w:rPr>
        <w:t xml:space="preserve"> και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εμφάνισαν αντίστοιχη αύξηση ενεργητικού (60%) και παρεμφερείς αυξήσεις στις υποχρεώσεις (συνολικές και βραχυπρόθεσμες), γύρω στο 50% με 60%. Ωστόσο, η </w:t>
      </w:r>
      <w:r w:rsidRPr="008275EC">
        <w:rPr>
          <w:rFonts w:eastAsia="Calibri"/>
          <w:szCs w:val="24"/>
        </w:rPr>
        <w:t>Alpha</w:t>
      </w:r>
      <w:r w:rsidRPr="008275EC">
        <w:rPr>
          <w:rFonts w:eastAsia="Calibri"/>
          <w:szCs w:val="24"/>
          <w:lang w:val="el-GR"/>
        </w:rPr>
        <w:t xml:space="preserve"> </w:t>
      </w:r>
      <w:r w:rsidRPr="008275EC">
        <w:rPr>
          <w:rFonts w:eastAsia="Calibri"/>
          <w:szCs w:val="24"/>
        </w:rPr>
        <w:t>Bank</w:t>
      </w:r>
      <w:r w:rsidRPr="008275EC">
        <w:rPr>
          <w:rFonts w:eastAsia="Calibri"/>
          <w:szCs w:val="24"/>
          <w:lang w:val="el-GR"/>
        </w:rPr>
        <w:t xml:space="preserve"> εμφάνισε μεγάλη αύξηση ιδίων κεφαλαίων (170%), ενώ η </w:t>
      </w:r>
      <w:r w:rsidRPr="008275EC">
        <w:rPr>
          <w:rFonts w:eastAsia="Calibri"/>
          <w:szCs w:val="24"/>
        </w:rPr>
        <w:t>Eurobank</w:t>
      </w:r>
      <w:r w:rsidRPr="008275EC">
        <w:rPr>
          <w:rFonts w:eastAsia="Calibri"/>
          <w:szCs w:val="24"/>
          <w:lang w:val="el-GR"/>
        </w:rPr>
        <w:t xml:space="preserve"> 70%.</w:t>
      </w:r>
    </w:p>
    <w:p w14:paraId="025BD8F5" w14:textId="77777777" w:rsidR="00D81942" w:rsidRDefault="008275EC" w:rsidP="00D81942">
      <w:pPr>
        <w:spacing w:before="200" w:after="200"/>
        <w:ind w:firstLine="709"/>
        <w:rPr>
          <w:rFonts w:eastAsia="Calibri"/>
          <w:szCs w:val="24"/>
          <w:lang w:val="el-GR"/>
        </w:rPr>
      </w:pPr>
      <w:r w:rsidRPr="008275EC">
        <w:rPr>
          <w:rFonts w:eastAsia="Calibri"/>
          <w:szCs w:val="24"/>
          <w:lang w:val="el-GR"/>
        </w:rPr>
        <w:t xml:space="preserve">Όσον αφορά τις τιμές των μετοχών, κατά το 2020, υψηλότερη ήταν η τιμή της Εθνικής Τράπεζας και χαμηλότερη η τιμή της </w:t>
      </w:r>
      <w:r w:rsidRPr="008275EC">
        <w:rPr>
          <w:rFonts w:eastAsia="Calibri"/>
          <w:szCs w:val="24"/>
        </w:rPr>
        <w:t>Eurobank</w:t>
      </w:r>
      <w:r w:rsidRPr="008275EC">
        <w:rPr>
          <w:rFonts w:eastAsia="Calibri"/>
          <w:szCs w:val="24"/>
          <w:lang w:val="el-GR"/>
        </w:rPr>
        <w:t xml:space="preserve">. Η τιμή της μετοχής της Εθνικής Τράπεζας είναι κοντά στο € 3,05. Ενώ, η τιμή της </w:t>
      </w:r>
      <w:r w:rsidRPr="008275EC">
        <w:rPr>
          <w:rFonts w:eastAsia="Calibri"/>
          <w:szCs w:val="24"/>
        </w:rPr>
        <w:t>Eurobank</w:t>
      </w:r>
      <w:r w:rsidRPr="008275EC">
        <w:rPr>
          <w:rFonts w:eastAsia="Calibri"/>
          <w:szCs w:val="24"/>
          <w:lang w:val="el-GR"/>
        </w:rPr>
        <w:t xml:space="preserve"> κοντά στα € 0,90. Από την αρχή της εξεταζόμενης περιόδου (2005) έως το 2020, οι τιμές των μετοχών των υπό εξέταση οργανισμών παρουσίασαν σημαντικές μεταβολές και ακραίες μειώσεις. Οι μεγαλύτερες μειώσεις στις τιμές των μετοχών συνέβησαν κατά το 2015 – 2016 (μετά την επιβολή των κεφαλαιακών ελέγχων). Καμία από τις τέσσερις συστημικές τράπεζες του δείγματος δεν κατάφερε να ανακτήσει την τιμή που είχε πριν το ξέσπασμα της κρίσης.</w:t>
      </w:r>
    </w:p>
    <w:p w14:paraId="2F666D0B" w14:textId="2C600D3A" w:rsidR="00D81942" w:rsidRDefault="008275EC" w:rsidP="00D81942">
      <w:pPr>
        <w:spacing w:before="200" w:after="200"/>
        <w:ind w:firstLine="709"/>
        <w:rPr>
          <w:rFonts w:eastAsia="Calibri"/>
          <w:szCs w:val="24"/>
          <w:lang w:val="el-GR"/>
        </w:rPr>
      </w:pPr>
      <w:r w:rsidRPr="008275EC">
        <w:rPr>
          <w:rFonts w:eastAsia="Calibri"/>
          <w:szCs w:val="24"/>
          <w:lang w:val="el-GR"/>
        </w:rPr>
        <w:t>Συνεχίζοντας, σχετικά με τις αναλύσεις παλινδρόμησης, δεν βρέθηκε καμία στατιστικά σημαντική επίδραση μεταξύ των μεταβολών των καθαρών κερδών/ ζημιών με τις μεταβολές των αποδόσεων των τιμών των μετοχών. Οι εν λόγω μεταβολές κινούνται προς την ίδια κατεύθυνση, έχοντας θετική σχέση. Αλλά η σχέση αυτή δεν είναι σημαντική, κάνοντας μας να απορρίψουμε όποια επίδραση. Ομοίως, εκτός από τα αποτελέσματα χρήσεως, οι μεταβολές των τιμών των μετοχών των χρηματοπιστωτικών οργανισμών δεν φάνηκε να επηρεάζονται ούτε από τις αποδόσεις του δείκτη απόδοσης περιουσιακών στοιχείων (</w:t>
      </w:r>
      <w:r w:rsidRPr="008275EC">
        <w:rPr>
          <w:rFonts w:eastAsia="Calibri"/>
          <w:szCs w:val="24"/>
        </w:rPr>
        <w:t>ROA</w:t>
      </w:r>
      <w:r w:rsidRPr="008275EC">
        <w:rPr>
          <w:rFonts w:eastAsia="Calibri"/>
          <w:szCs w:val="24"/>
          <w:lang w:val="el-GR"/>
        </w:rPr>
        <w:t xml:space="preserve">), ούτε από τις μεταβολές των κερδών ανά μετοχή, αλλά και ούτε από τις μεταβολές των χρηματοπιστωτικών κινδύνων, όπως </w:t>
      </w:r>
      <w:r w:rsidRPr="008275EC">
        <w:rPr>
          <w:rFonts w:eastAsia="Calibri"/>
          <w:szCs w:val="24"/>
          <w:lang w:val="el-GR"/>
        </w:rPr>
        <w:lastRenderedPageBreak/>
        <w:t>του κινδύνου επιτοκίου, του πιστωτικού κινδύνου και του κινδύνου φερεγγυότητας (</w:t>
      </w:r>
      <w:r w:rsidRPr="008275EC">
        <w:rPr>
          <w:rFonts w:eastAsia="Arial Unicode MS"/>
          <w:szCs w:val="24"/>
          <w:bdr w:val="nil"/>
        </w:rPr>
        <w:t>Hove</w:t>
      </w:r>
      <w:r w:rsidRPr="008275EC">
        <w:rPr>
          <w:rFonts w:eastAsia="Arial Unicode MS"/>
          <w:szCs w:val="24"/>
          <w:bdr w:val="nil"/>
          <w:lang w:val="el-GR"/>
        </w:rPr>
        <w:t xml:space="preserve"> </w:t>
      </w:r>
      <w:r w:rsidRPr="008275EC">
        <w:rPr>
          <w:rFonts w:eastAsia="Arial Unicode MS"/>
          <w:i/>
          <w:iCs/>
          <w:szCs w:val="24"/>
          <w:bdr w:val="nil"/>
          <w:lang w:val="nl-NL"/>
        </w:rPr>
        <w:t>et al</w:t>
      </w:r>
      <w:r w:rsidRPr="008275EC">
        <w:rPr>
          <w:rFonts w:eastAsia="Arial Unicode MS"/>
          <w:szCs w:val="24"/>
          <w:bdr w:val="nil"/>
          <w:lang w:val="el-GR"/>
        </w:rPr>
        <w:t>., 2020</w:t>
      </w:r>
      <w:r w:rsidR="00967E81">
        <w:rPr>
          <w:rFonts w:eastAsia="Arial Unicode MS"/>
          <w:szCs w:val="24"/>
          <w:bdr w:val="nil"/>
          <w:lang w:val="el-GR"/>
        </w:rPr>
        <w:t xml:space="preserve">; </w:t>
      </w:r>
      <w:r w:rsidRPr="008275EC">
        <w:rPr>
          <w:rFonts w:eastAsia="Arial Unicode MS"/>
          <w:szCs w:val="24"/>
          <w:bdr w:val="nil"/>
        </w:rPr>
        <w:t>Razak</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i/>
          <w:iCs/>
          <w:szCs w:val="24"/>
          <w:bdr w:val="nil"/>
          <w:lang w:val="el-GR"/>
        </w:rPr>
        <w:t>.</w:t>
      </w:r>
      <w:r w:rsidRPr="008275EC">
        <w:rPr>
          <w:rFonts w:eastAsia="Arial Unicode MS"/>
          <w:szCs w:val="24"/>
          <w:bdr w:val="nil"/>
          <w:lang w:val="el-GR"/>
        </w:rPr>
        <w:t>, 2020)</w:t>
      </w:r>
      <w:r w:rsidRPr="008275EC">
        <w:rPr>
          <w:rFonts w:eastAsia="Calibri"/>
          <w:szCs w:val="24"/>
          <w:lang w:val="el-GR"/>
        </w:rPr>
        <w:t xml:space="preserve">. </w:t>
      </w:r>
    </w:p>
    <w:p w14:paraId="7B8C6F0A" w14:textId="77777777" w:rsidR="00D81942" w:rsidRDefault="008275EC" w:rsidP="00D81942">
      <w:pPr>
        <w:spacing w:before="200" w:after="200"/>
        <w:ind w:firstLine="709"/>
        <w:rPr>
          <w:rFonts w:eastAsia="Calibri"/>
          <w:szCs w:val="24"/>
          <w:lang w:val="el-GR"/>
        </w:rPr>
      </w:pPr>
      <w:r w:rsidRPr="008275EC">
        <w:rPr>
          <w:rFonts w:eastAsia="Calibri"/>
          <w:szCs w:val="24"/>
          <w:lang w:val="el-GR"/>
        </w:rPr>
        <w:t>Παρόλο αυτά, βρήκαμε ότι υπάρχει σημαντική επίδραση των μεταβολών του δείκτη απόδοσης των ιδίων κεφαλαίων (</w:t>
      </w:r>
      <w:r w:rsidRPr="008275EC">
        <w:rPr>
          <w:rFonts w:eastAsia="Calibri"/>
          <w:szCs w:val="24"/>
        </w:rPr>
        <w:t>ROE</w:t>
      </w:r>
      <w:r w:rsidRPr="008275EC">
        <w:rPr>
          <w:rFonts w:eastAsia="Calibri"/>
          <w:szCs w:val="24"/>
          <w:lang w:val="el-GR"/>
        </w:rPr>
        <w:t xml:space="preserve">) στις αποδόσεις των τιμών των μετοχών των συστημικών ελληνικών τραπεζών. Ο δείκτης </w:t>
      </w:r>
      <w:r w:rsidRPr="008275EC">
        <w:rPr>
          <w:rFonts w:eastAsia="Calibri"/>
          <w:szCs w:val="24"/>
        </w:rPr>
        <w:t>ROE</w:t>
      </w:r>
      <w:r w:rsidRPr="008275EC">
        <w:rPr>
          <w:rFonts w:eastAsia="Calibri"/>
          <w:szCs w:val="24"/>
          <w:lang w:val="el-GR"/>
        </w:rPr>
        <w:t xml:space="preserve"> επηρεάζει θετικά της μεταβολές των τιμών των μετοχών. Η διαφορά μεταξύ των επιδράσεων ανάμεσα στους δείκτες </w:t>
      </w:r>
      <w:r w:rsidRPr="008275EC">
        <w:rPr>
          <w:rFonts w:eastAsia="Calibri"/>
          <w:szCs w:val="24"/>
        </w:rPr>
        <w:t>ROA</w:t>
      </w:r>
      <w:r w:rsidRPr="008275EC">
        <w:rPr>
          <w:rFonts w:eastAsia="Calibri"/>
          <w:szCs w:val="24"/>
          <w:lang w:val="el-GR"/>
        </w:rPr>
        <w:t xml:space="preserve"> και </w:t>
      </w:r>
      <w:r w:rsidRPr="008275EC">
        <w:rPr>
          <w:rFonts w:eastAsia="Calibri"/>
          <w:szCs w:val="24"/>
        </w:rPr>
        <w:t>ROE</w:t>
      </w:r>
      <w:r w:rsidRPr="008275EC">
        <w:rPr>
          <w:rFonts w:eastAsia="Calibri"/>
          <w:szCs w:val="24"/>
          <w:lang w:val="el-GR"/>
        </w:rPr>
        <w:t xml:space="preserve">, μπορεί να δικαιολογηθεί από τις μεταβολές των δεικτών αυτών κατά τα εξέταση έτη. Εκτός από τον δείκτη </w:t>
      </w:r>
      <w:r w:rsidRPr="008275EC">
        <w:rPr>
          <w:rFonts w:eastAsia="Calibri"/>
          <w:szCs w:val="24"/>
        </w:rPr>
        <w:t>ROE</w:t>
      </w:r>
      <w:r w:rsidRPr="008275EC">
        <w:rPr>
          <w:rFonts w:eastAsia="Calibri"/>
          <w:szCs w:val="24"/>
          <w:lang w:val="el-GR"/>
        </w:rPr>
        <w:t>, ο χρηματοπιστωτικός κίνδυνος ρευστότητας έχει σημαντική επίδραση στις μεταβολές των τιμών των μετοχών των τραπεζών (</w:t>
      </w:r>
      <w:r w:rsidRPr="008275EC">
        <w:rPr>
          <w:rFonts w:eastAsia="Arial Unicode MS"/>
          <w:szCs w:val="24"/>
          <w:bdr w:val="nil"/>
        </w:rPr>
        <w:t>Saleh</w:t>
      </w:r>
      <w:r w:rsidRPr="008275EC">
        <w:rPr>
          <w:rFonts w:eastAsia="Arial Unicode MS"/>
          <w:szCs w:val="24"/>
          <w:bdr w:val="nil"/>
          <w:lang w:val="el-GR"/>
        </w:rPr>
        <w:t>, 2015)</w:t>
      </w:r>
      <w:r w:rsidRPr="008275EC">
        <w:rPr>
          <w:rFonts w:eastAsia="Calibri"/>
          <w:szCs w:val="24"/>
          <w:lang w:val="el-GR"/>
        </w:rPr>
        <w:t xml:space="preserve">. Και η εν λόγω συσχέτιση είναι θετική. Δηλαδή, μια αύξηση στον δείκτη </w:t>
      </w:r>
      <w:r w:rsidRPr="008275EC">
        <w:rPr>
          <w:rFonts w:eastAsia="Calibri"/>
          <w:szCs w:val="24"/>
        </w:rPr>
        <w:t>ROE</w:t>
      </w:r>
      <w:r w:rsidRPr="008275EC">
        <w:rPr>
          <w:rFonts w:eastAsia="Calibri"/>
          <w:szCs w:val="24"/>
          <w:lang w:val="el-GR"/>
        </w:rPr>
        <w:t xml:space="preserve"> ή στους κινδύνους ρευστότητας των ελληνικών τραπεζών, θα επιφέρει αύξηση στις τιμές των μετοχών αυτών. Η επίδραση του κινδύνου είναι μεγαλύτερη. Ουσιαστικά, λαμβάνοντας υπόψη την χρηματοοικονομική απόδοση των οργανισμών, μόνο ο δείκτης </w:t>
      </w:r>
      <w:r w:rsidRPr="008275EC">
        <w:rPr>
          <w:rFonts w:eastAsia="Calibri"/>
          <w:szCs w:val="24"/>
        </w:rPr>
        <w:t>ROE</w:t>
      </w:r>
      <w:r w:rsidRPr="008275EC">
        <w:rPr>
          <w:rFonts w:eastAsia="Calibri"/>
          <w:szCs w:val="24"/>
          <w:lang w:val="el-GR"/>
        </w:rPr>
        <w:t xml:space="preserve"> επηρεάζει τις τιμές των μετοχών. Ενώ, λαμβάνοντας υπόψη τους χρηματοοικονομικούς κινδύνους των οργανισμών, μόνο ο κίνδυνος ρευστότητας επηρεάζει τις τιμές των μετοχών. Ωστόσο, όλα τα παραπάνω αποτελέσματα είναι μη στατιστικά σημαντικά και δεν μπορούν να γενικευτούν σε άλλους πιστωτικούς οργανισμούς (πέρα από τις τέσσερις ελληνικές συστημικές τράπεζες). </w:t>
      </w:r>
    </w:p>
    <w:p w14:paraId="1E43045F" w14:textId="77777777" w:rsidR="00D81942" w:rsidRDefault="008275EC" w:rsidP="00D81942">
      <w:pPr>
        <w:spacing w:before="200" w:after="200"/>
        <w:ind w:firstLine="709"/>
        <w:rPr>
          <w:rFonts w:eastAsia="Calibri"/>
          <w:szCs w:val="24"/>
          <w:lang w:val="el-GR"/>
        </w:rPr>
      </w:pPr>
      <w:r w:rsidRPr="008275EC">
        <w:rPr>
          <w:rFonts w:eastAsia="Calibri"/>
          <w:szCs w:val="24"/>
          <w:lang w:val="el-GR"/>
        </w:rPr>
        <w:t>Επιπρόσθετα, μέσα από τα αποτελέσματα των γραμμικών αναλύσεων βρήκαμε ότι ο πιστωτικός κίνδυνος επηρεάζει, αρνητικά και σημαντικά τις μεταβολές των καθαρών κερδών/ ζημιών. Μια αύξηση στον πιστωτικό κίνδυνο των τραπεζών μειώνει τα κέρδη/ ζημιές τους. Οι υπόλοιποι χρηματοοικονομικοί κίνδυνοι της ανάλυσης, δεν επηρεάζουν τα καθαρά κέρδη/ ζημιές. Ομοίως, από τους κινδύνους που χρησιμοποιήσαμε στο δείγμα, μόνο ο κίνδυνος επιτοκίου επηρεάζει θετικά και σημαντικά τις μεταβολές των κερδών ανά μετοχή. Μια αύξηση στο κίνδυνο επιτοκίου των τραπεζών αυξάνει τα κέρδη ανά μετοχή. Γενικά, υπάρχει σημαντικά επίδραση μεταξύ των μεταβολών των χρηματοπιστωτικών κινδύνων, με τις μεταβολές των καθαρών κερδών/ ζημιών και των μεταβολών των κερδών ανά μετοχή. Τα ευρήματα αυτά είναι στατιστικά σημαντικά, αλλά δεν γενικεύονται σε άλλους οργανισμούς (πέρα του δείγματος).</w:t>
      </w:r>
    </w:p>
    <w:p w14:paraId="00B8B931" w14:textId="4A044710" w:rsidR="00D81942" w:rsidRDefault="008275EC" w:rsidP="00D81942">
      <w:pPr>
        <w:spacing w:before="200" w:after="200"/>
        <w:ind w:firstLine="709"/>
        <w:rPr>
          <w:rFonts w:eastAsia="Calibri"/>
          <w:szCs w:val="24"/>
          <w:lang w:val="el-GR"/>
        </w:rPr>
      </w:pPr>
      <w:r w:rsidRPr="008275EC">
        <w:rPr>
          <w:rFonts w:eastAsia="Calibri"/>
          <w:szCs w:val="24"/>
          <w:lang w:val="el-GR"/>
        </w:rPr>
        <w:t xml:space="preserve">Συνεχίζοντας, τα αποτελέσματα της εν λόγω διπλωματικής εργασίας εμπλουτίζουν την ήδη υπάρχον σχετική βιβλιογραφία. Τα αποτελέσματα της εν λόγω ανάλυσης συμφωνούν με τα </w:t>
      </w:r>
      <w:r w:rsidRPr="008275EC">
        <w:rPr>
          <w:rFonts w:eastAsia="Calibri"/>
          <w:szCs w:val="24"/>
          <w:lang w:val="el-GR"/>
        </w:rPr>
        <w:lastRenderedPageBreak/>
        <w:t xml:space="preserve">αποτελέσματα των </w:t>
      </w:r>
      <w:r w:rsidRPr="008275EC">
        <w:rPr>
          <w:rFonts w:eastAsia="Arial Unicode MS"/>
          <w:szCs w:val="24"/>
          <w:bdr w:val="nil"/>
          <w:lang w:val="tr-TR"/>
        </w:rPr>
        <w:t>Başarır</w:t>
      </w:r>
      <w:r w:rsidRPr="008275EC">
        <w:rPr>
          <w:rFonts w:eastAsia="Arial Unicode MS"/>
          <w:szCs w:val="24"/>
          <w:bdr w:val="nil"/>
          <w:lang w:val="el-GR"/>
        </w:rPr>
        <w:t xml:space="preserve"> </w:t>
      </w:r>
      <w:r w:rsidR="0082514D">
        <w:rPr>
          <w:rFonts w:eastAsia="Arial Unicode MS"/>
          <w:szCs w:val="24"/>
          <w:bdr w:val="nil"/>
          <w:lang w:val="el-GR"/>
        </w:rPr>
        <w:t>&amp;</w:t>
      </w:r>
      <w:r w:rsidRPr="008275EC">
        <w:rPr>
          <w:rFonts w:eastAsia="Arial Unicode MS"/>
          <w:szCs w:val="24"/>
          <w:bdr w:val="nil"/>
          <w:lang w:val="el-GR"/>
        </w:rPr>
        <w:t xml:space="preserve"> </w:t>
      </w:r>
      <w:r w:rsidRPr="008275EC">
        <w:rPr>
          <w:rFonts w:eastAsia="Arial Unicode MS"/>
          <w:szCs w:val="24"/>
          <w:bdr w:val="nil"/>
          <w:lang w:val="tr-TR"/>
        </w:rPr>
        <w:t>Ülker</w:t>
      </w:r>
      <w:r w:rsidRPr="008275EC">
        <w:rPr>
          <w:rFonts w:eastAsia="Arial Unicode MS"/>
          <w:szCs w:val="24"/>
          <w:bdr w:val="nil"/>
          <w:lang w:val="el-GR"/>
        </w:rPr>
        <w:t xml:space="preserve"> (2015), οι οποίοι κατέληξαν στο συμπέρασμα ότι υπάρχουν σημαντικές σχέσεις (είτε θετικές είτε αρνητικές) μεταξύ των χρηματοοικονομικών δεικτών και των αποδόσεων των  τιμών των μετοχών. </w:t>
      </w:r>
    </w:p>
    <w:p w14:paraId="61B96E50" w14:textId="77777777" w:rsidR="00D81942" w:rsidRDefault="008275EC" w:rsidP="00D81942">
      <w:pPr>
        <w:spacing w:before="200" w:after="200"/>
        <w:ind w:firstLine="709"/>
        <w:rPr>
          <w:rFonts w:eastAsia="Calibri"/>
          <w:szCs w:val="24"/>
          <w:lang w:val="el-GR"/>
        </w:rPr>
      </w:pPr>
      <w:r w:rsidRPr="008275EC">
        <w:rPr>
          <w:rFonts w:eastAsia="Calibri"/>
          <w:szCs w:val="24"/>
          <w:lang w:val="el-GR"/>
        </w:rPr>
        <w:t xml:space="preserve">Παρόλο αυτά, τα αποτελέσματα της εν λόγω διπλωματικής εργασίας κυρίως διαφωνούν με την υπάρχουσα βιβλιογραφία. Τα αποτελέσματα της ανάλυσης μπορούμε να πούμε ότι εν μέρει έρχονται σε συμφωνία, αλλά και σε αντίθεση με τα αποτελέσματα των </w:t>
      </w:r>
      <w:r w:rsidRPr="008275EC">
        <w:rPr>
          <w:rFonts w:eastAsia="Arial Unicode MS"/>
          <w:szCs w:val="24"/>
          <w:bdr w:val="nil"/>
        </w:rPr>
        <w:t>Saleh</w:t>
      </w:r>
      <w:r w:rsidRPr="008275EC">
        <w:rPr>
          <w:rFonts w:eastAsia="Arial Unicode MS"/>
          <w:szCs w:val="24"/>
          <w:bdr w:val="nil"/>
          <w:lang w:val="el-GR"/>
        </w:rPr>
        <w:t xml:space="preserve"> (2015), </w:t>
      </w:r>
      <w:r w:rsidRPr="008275EC">
        <w:rPr>
          <w:rFonts w:eastAsia="Arial Unicode MS"/>
          <w:szCs w:val="24"/>
          <w:bdr w:val="nil"/>
        </w:rPr>
        <w:t>Ndirangu</w:t>
      </w:r>
      <w:r w:rsidRPr="008275EC">
        <w:rPr>
          <w:rFonts w:eastAsia="Arial Unicode MS"/>
          <w:szCs w:val="24"/>
          <w:bdr w:val="nil"/>
          <w:lang w:val="el-GR"/>
        </w:rPr>
        <w:t xml:space="preserve"> (2016), </w:t>
      </w:r>
      <w:r w:rsidRPr="008275EC">
        <w:rPr>
          <w:rFonts w:eastAsia="Arial Unicode MS"/>
          <w:szCs w:val="24"/>
          <w:bdr w:val="nil"/>
        </w:rPr>
        <w:t>Hove</w:t>
      </w:r>
      <w:r w:rsidRPr="008275EC">
        <w:rPr>
          <w:rFonts w:eastAsia="Arial Unicode MS"/>
          <w:szCs w:val="24"/>
          <w:bdr w:val="nil"/>
          <w:lang w:val="el-GR"/>
        </w:rPr>
        <w:t xml:space="preserve"> </w:t>
      </w:r>
      <w:r w:rsidRPr="008275EC">
        <w:rPr>
          <w:rFonts w:eastAsia="Arial Unicode MS"/>
          <w:i/>
          <w:iCs/>
          <w:szCs w:val="24"/>
          <w:bdr w:val="nil"/>
          <w:lang w:val="nl-NL"/>
        </w:rPr>
        <w:t>et al</w:t>
      </w:r>
      <w:r w:rsidRPr="008275EC">
        <w:rPr>
          <w:rFonts w:eastAsia="Arial Unicode MS"/>
          <w:szCs w:val="24"/>
          <w:bdr w:val="nil"/>
          <w:lang w:val="el-GR"/>
        </w:rPr>
        <w:t xml:space="preserve">. (2020) και </w:t>
      </w:r>
      <w:r w:rsidRPr="008275EC">
        <w:rPr>
          <w:rFonts w:eastAsia="Arial Unicode MS"/>
          <w:szCs w:val="24"/>
          <w:bdr w:val="nil"/>
        </w:rPr>
        <w:t>Razak</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i/>
          <w:iCs/>
          <w:szCs w:val="24"/>
          <w:bdr w:val="nil"/>
          <w:lang w:val="el-GR"/>
        </w:rPr>
        <w:t>.</w:t>
      </w:r>
      <w:r w:rsidRPr="008275EC">
        <w:rPr>
          <w:rFonts w:eastAsia="Arial Unicode MS"/>
          <w:szCs w:val="24"/>
          <w:bdr w:val="nil"/>
          <w:lang w:val="el-GR"/>
        </w:rPr>
        <w:t xml:space="preserve"> (2020), οι οποίοι βρήκαν είτε ότι οι αποδόσεις των χρηματοοικονομικών δεικτών σχετίζονται στενά με τις αποδόσεις των τιμών των μετοχών είτε ότι υπάρχει ασήμαντη, αρνητική σχέση. Ωστόσο, εμείς βρήκαμε ότι μόνο ο δείκτης </w:t>
      </w:r>
      <w:r w:rsidRPr="008275EC">
        <w:rPr>
          <w:rFonts w:eastAsia="Arial Unicode MS"/>
          <w:szCs w:val="24"/>
          <w:bdr w:val="nil"/>
        </w:rPr>
        <w:t>ROE</w:t>
      </w:r>
      <w:r w:rsidRPr="008275EC">
        <w:rPr>
          <w:rFonts w:eastAsia="Arial Unicode MS"/>
          <w:szCs w:val="24"/>
          <w:bdr w:val="nil"/>
          <w:lang w:val="el-GR"/>
        </w:rPr>
        <w:t xml:space="preserve"> έχει τέτοια επίδραση (θετική, σημαντική σχέση). </w:t>
      </w:r>
    </w:p>
    <w:p w14:paraId="5E14EA14" w14:textId="17A1321B" w:rsidR="00D81942" w:rsidRDefault="008275EC" w:rsidP="00D81942">
      <w:pPr>
        <w:spacing w:before="200" w:after="200"/>
        <w:ind w:firstLine="709"/>
        <w:rPr>
          <w:rFonts w:eastAsia="Calibri"/>
          <w:szCs w:val="24"/>
          <w:lang w:val="el-GR"/>
        </w:rPr>
      </w:pPr>
      <w:r w:rsidRPr="008275EC">
        <w:rPr>
          <w:rFonts w:eastAsia="Arial Unicode MS"/>
          <w:szCs w:val="24"/>
          <w:bdr w:val="nil"/>
          <w:lang w:val="el-GR"/>
        </w:rPr>
        <w:t xml:space="preserve">Ακόμη, τα αποτελέσματα της εν λόγω εργασίας έρχονται σε αντίθεση με τα αποτελέσματα της έρευνας του Anwaar (2016), ο οποίος βρήκε ότι σημαντική, αρνητική επίδραση μεταξύ του δείκτη </w:t>
      </w:r>
      <w:r w:rsidRPr="008275EC">
        <w:rPr>
          <w:rFonts w:eastAsia="Arial Unicode MS"/>
          <w:szCs w:val="24"/>
          <w:bdr w:val="nil"/>
        </w:rPr>
        <w:t>EPS</w:t>
      </w:r>
      <w:r w:rsidRPr="008275EC">
        <w:rPr>
          <w:rFonts w:eastAsia="Arial Unicode MS"/>
          <w:szCs w:val="24"/>
          <w:bdr w:val="nil"/>
          <w:lang w:val="el-GR"/>
        </w:rPr>
        <w:t xml:space="preserve"> και των τιμών των μετοχών και ασήμαντη επίδραση μεταξύ των τιμών των μετοχών και του δείκτη </w:t>
      </w:r>
      <w:r w:rsidRPr="008275EC">
        <w:rPr>
          <w:rFonts w:eastAsia="Arial Unicode MS"/>
          <w:szCs w:val="24"/>
          <w:bdr w:val="nil"/>
        </w:rPr>
        <w:t>ROE</w:t>
      </w:r>
      <w:r w:rsidRPr="008275EC">
        <w:rPr>
          <w:rFonts w:eastAsia="Arial Unicode MS"/>
          <w:szCs w:val="24"/>
          <w:bdr w:val="nil"/>
          <w:lang w:val="el-GR"/>
        </w:rPr>
        <w:t xml:space="preserve">. Οι αναλύσεις της εργασίας έδειξαν σχεδόν μηδενική και θετικά επίδραση, αντίστοιχα. Καθώς, και με τα αποτελέσματα των </w:t>
      </w:r>
      <w:r w:rsidRPr="008275EC">
        <w:rPr>
          <w:rFonts w:eastAsia="Arial Unicode MS"/>
          <w:szCs w:val="24"/>
          <w:bdr w:val="nil"/>
        </w:rPr>
        <w:t>Idowu</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i/>
          <w:iCs/>
          <w:szCs w:val="24"/>
          <w:bdr w:val="nil"/>
          <w:lang w:val="el-GR"/>
        </w:rPr>
        <w:t>.</w:t>
      </w:r>
      <w:r w:rsidRPr="008275EC">
        <w:rPr>
          <w:rFonts w:eastAsia="Arial Unicode MS"/>
          <w:szCs w:val="24"/>
          <w:bdr w:val="nil"/>
          <w:lang w:val="el-GR"/>
        </w:rPr>
        <w:t xml:space="preserve"> (2018), οι οποίοι βρήκαν θετική σημαντική σχέση μεταξύ δείκτη </w:t>
      </w:r>
      <w:r w:rsidRPr="008275EC">
        <w:rPr>
          <w:rFonts w:eastAsia="Arial Unicode MS"/>
          <w:szCs w:val="24"/>
          <w:bdr w:val="nil"/>
        </w:rPr>
        <w:t>ROA</w:t>
      </w:r>
      <w:r w:rsidRPr="008275EC">
        <w:rPr>
          <w:rFonts w:eastAsia="Arial Unicode MS"/>
          <w:szCs w:val="24"/>
          <w:bdr w:val="nil"/>
          <w:lang w:val="el-GR"/>
        </w:rPr>
        <w:t xml:space="preserve"> και τιμών μετοχών, αρνητική σημαντική σχέση μεταξύ του δείκτη </w:t>
      </w:r>
      <w:r w:rsidRPr="008275EC">
        <w:rPr>
          <w:rFonts w:eastAsia="Arial Unicode MS"/>
          <w:szCs w:val="24"/>
          <w:bdr w:val="nil"/>
        </w:rPr>
        <w:t>EPS</w:t>
      </w:r>
      <w:r w:rsidRPr="008275EC">
        <w:rPr>
          <w:rFonts w:eastAsia="Arial Unicode MS"/>
          <w:szCs w:val="24"/>
          <w:bdr w:val="nil"/>
          <w:lang w:val="el-GR"/>
        </w:rPr>
        <w:t xml:space="preserve"> και των τιμών των μετοχών, και ασήμαντη σχέση μεταξύ δείκτη </w:t>
      </w:r>
      <w:r w:rsidRPr="008275EC">
        <w:rPr>
          <w:rFonts w:eastAsia="Arial Unicode MS"/>
          <w:szCs w:val="24"/>
          <w:bdr w:val="nil"/>
        </w:rPr>
        <w:t>ROE</w:t>
      </w:r>
      <w:r w:rsidRPr="008275EC">
        <w:rPr>
          <w:rFonts w:eastAsia="Arial Unicode MS"/>
          <w:szCs w:val="24"/>
          <w:bdr w:val="nil"/>
          <w:lang w:val="el-GR"/>
        </w:rPr>
        <w:t xml:space="preserve"> και τιμών μετοχών. Τα αποτελέσματα της εν λόγω εργασίας ήταν αντίστοιχα αρνητική ασήμαντη σχέση, σχεδόν μηδενική ασήμαντη σχέση και στατιστικά ασήμαντη σχέση. Τα αποτελέσματα έρχονται σε αντίθεση και με τα αποτελέσματα των </w:t>
      </w:r>
      <w:r w:rsidRPr="008275EC">
        <w:rPr>
          <w:rFonts w:eastAsia="Arial Unicode MS"/>
          <w:szCs w:val="24"/>
          <w:bdr w:val="nil"/>
        </w:rPr>
        <w:t>Liadaki</w:t>
      </w:r>
      <w:r w:rsidRPr="008275EC">
        <w:rPr>
          <w:rFonts w:eastAsia="Arial Unicode MS"/>
          <w:szCs w:val="24"/>
          <w:bdr w:val="nil"/>
          <w:lang w:val="el-GR"/>
        </w:rPr>
        <w:t xml:space="preserve"> </w:t>
      </w:r>
      <w:r w:rsidR="0082514D">
        <w:rPr>
          <w:rFonts w:eastAsia="Arial Unicode MS"/>
          <w:szCs w:val="24"/>
          <w:bdr w:val="nil"/>
          <w:lang w:val="el-GR"/>
        </w:rPr>
        <w:t>&amp;</w:t>
      </w:r>
      <w:r w:rsidRPr="008275EC">
        <w:rPr>
          <w:rFonts w:eastAsia="Arial Unicode MS"/>
          <w:szCs w:val="24"/>
          <w:bdr w:val="nil"/>
          <w:lang w:val="el-GR"/>
        </w:rPr>
        <w:t xml:space="preserve"> </w:t>
      </w:r>
      <w:r w:rsidRPr="008275EC">
        <w:rPr>
          <w:rFonts w:eastAsia="Arial Unicode MS"/>
          <w:szCs w:val="24"/>
          <w:bdr w:val="nil"/>
        </w:rPr>
        <w:t>Gaganis</w:t>
      </w:r>
      <w:r w:rsidRPr="008275EC">
        <w:rPr>
          <w:rFonts w:eastAsia="Arial Unicode MS"/>
          <w:szCs w:val="24"/>
          <w:bdr w:val="nil"/>
          <w:lang w:val="el-GR"/>
        </w:rPr>
        <w:t xml:space="preserve"> (2010), και </w:t>
      </w:r>
      <w:r w:rsidRPr="008275EC">
        <w:rPr>
          <w:rFonts w:eastAsia="Arial Unicode MS"/>
          <w:szCs w:val="24"/>
          <w:bdr w:val="nil"/>
        </w:rPr>
        <w:t>Rengaraju</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i/>
          <w:iCs/>
          <w:szCs w:val="24"/>
          <w:bdr w:val="nil"/>
          <w:lang w:val="el-GR"/>
        </w:rPr>
        <w:t>.</w:t>
      </w:r>
      <w:r w:rsidRPr="008275EC">
        <w:rPr>
          <w:rFonts w:eastAsia="Arial Unicode MS"/>
          <w:szCs w:val="24"/>
          <w:bdr w:val="nil"/>
          <w:lang w:val="el-GR"/>
        </w:rPr>
        <w:t xml:space="preserve"> (2020).</w:t>
      </w:r>
    </w:p>
    <w:p w14:paraId="2A61532C" w14:textId="57C039ED" w:rsidR="00D81942" w:rsidRDefault="008275EC" w:rsidP="00D81942">
      <w:pPr>
        <w:spacing w:before="200" w:after="200"/>
        <w:ind w:firstLine="709"/>
        <w:rPr>
          <w:rFonts w:eastAsia="Arial Unicode MS"/>
          <w:szCs w:val="24"/>
          <w:bdr w:val="nil"/>
          <w:lang w:val="el-GR"/>
        </w:rPr>
      </w:pPr>
      <w:r w:rsidRPr="008275EC">
        <w:rPr>
          <w:rFonts w:eastAsia="Arial Unicode MS"/>
          <w:szCs w:val="24"/>
          <w:bdr w:val="nil"/>
          <w:lang w:val="el-GR"/>
        </w:rPr>
        <w:t xml:space="preserve">Οι παραπάνω διαφορές δικαιολογούνται από τα διαφορετικά περιβάλλοντα, τους διαφορετικούς κλάδους και τις διαφορετικές χρονικές περιόδους. Άλλωστε, η οικονομική κρίση επηρέασε αρνητικά τον τραπεζικό κλάδο της Ελλάδας, και αυτό φαίνεται έντονα και από τις οικονομικές καταστάσεις των τραπεζών, αλλά και από τις διαφορές μεταξύ αυτής της εργασίας και με την έρευνα των </w:t>
      </w:r>
      <w:r w:rsidRPr="008275EC">
        <w:rPr>
          <w:rFonts w:eastAsia="Arial Unicode MS"/>
          <w:szCs w:val="24"/>
          <w:bdr w:val="nil"/>
          <w:lang w:val="fr-FR"/>
        </w:rPr>
        <w:t>Dimitropoulos</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i/>
          <w:iCs/>
          <w:szCs w:val="24"/>
          <w:bdr w:val="nil"/>
          <w:lang w:val="el-GR"/>
        </w:rPr>
        <w:t>.</w:t>
      </w:r>
      <w:r w:rsidRPr="008275EC">
        <w:rPr>
          <w:rFonts w:eastAsia="Arial Unicode MS"/>
          <w:szCs w:val="24"/>
          <w:bdr w:val="nil"/>
          <w:lang w:val="el-GR"/>
        </w:rPr>
        <w:t xml:space="preserve"> (2010), οι οποίοι εξέτασαν τον ελληνικό τραπεζικό κλάδο, έως το 2004</w:t>
      </w:r>
      <w:r w:rsidRPr="008275EC">
        <w:rPr>
          <w:rFonts w:eastAsia="Arial Unicode MS"/>
          <w:szCs w:val="24"/>
          <w:bdr w:val="nil"/>
          <w:vertAlign w:val="superscript"/>
          <w:lang w:val="el-GR"/>
        </w:rPr>
        <w:footnoteReference w:id="23"/>
      </w:r>
      <w:r w:rsidRPr="008275EC">
        <w:rPr>
          <w:rFonts w:eastAsia="Arial Unicode MS"/>
          <w:szCs w:val="24"/>
          <w:bdr w:val="nil"/>
          <w:lang w:val="el-GR"/>
        </w:rPr>
        <w:t xml:space="preserve">. Οι </w:t>
      </w:r>
      <w:r w:rsidRPr="008275EC">
        <w:rPr>
          <w:rFonts w:eastAsia="Arial Unicode MS"/>
          <w:szCs w:val="24"/>
          <w:bdr w:val="nil"/>
          <w:lang w:val="fr-FR"/>
        </w:rPr>
        <w:t>Dimitropoulos</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i/>
          <w:iCs/>
          <w:szCs w:val="24"/>
          <w:bdr w:val="nil"/>
          <w:lang w:val="el-GR"/>
        </w:rPr>
        <w:t>.</w:t>
      </w:r>
      <w:r w:rsidRPr="008275EC">
        <w:rPr>
          <w:rFonts w:eastAsia="Arial Unicode MS"/>
          <w:szCs w:val="24"/>
          <w:bdr w:val="nil"/>
          <w:lang w:val="el-GR"/>
        </w:rPr>
        <w:t xml:space="preserve"> (2010) βρήκαν ότι οι τιμές των μετοχών των ελληνικών τραπεζών επηρεάζονται σημαντικά από τα κέρδη. Η εν λόγω εργασία δεν κατέληξε </w:t>
      </w:r>
      <w:r w:rsidRPr="008275EC">
        <w:rPr>
          <w:rFonts w:eastAsia="Arial Unicode MS"/>
          <w:szCs w:val="24"/>
          <w:bdr w:val="nil"/>
          <w:lang w:val="el-GR"/>
        </w:rPr>
        <w:lastRenderedPageBreak/>
        <w:t xml:space="preserve">σε αντίστοιχο επηρεασμό. Εν μέρει, μόνο στον επηρεασμό των χρηματοπιστωτικών κινδύνων φαίνεται να υπάρχει κάποια συμφωνία, καθώς και οι </w:t>
      </w:r>
      <w:r w:rsidRPr="008275EC">
        <w:rPr>
          <w:rFonts w:eastAsia="Arial Unicode MS"/>
          <w:szCs w:val="24"/>
          <w:bdr w:val="nil"/>
          <w:lang w:val="fr-FR"/>
        </w:rPr>
        <w:t>Dimitropoulos</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i/>
          <w:iCs/>
          <w:szCs w:val="24"/>
          <w:bdr w:val="nil"/>
          <w:lang w:val="el-GR"/>
        </w:rPr>
        <w:t>.</w:t>
      </w:r>
      <w:r w:rsidRPr="008275EC">
        <w:rPr>
          <w:rFonts w:eastAsia="Arial Unicode MS"/>
          <w:szCs w:val="24"/>
          <w:bdr w:val="nil"/>
          <w:lang w:val="el-GR"/>
        </w:rPr>
        <w:t xml:space="preserve"> (2010) είχαν βρει ασήμαντη επίδραση για τον κίνδυνο επιτοκίου. Όμως, υπάρχει διαφωνία στον πιστωτικό κίνδυνο και τον κίνδυνο ρευστότητας. Οι </w:t>
      </w:r>
      <w:r w:rsidRPr="008275EC">
        <w:rPr>
          <w:rFonts w:eastAsia="Arial Unicode MS"/>
          <w:szCs w:val="24"/>
          <w:bdr w:val="nil"/>
          <w:lang w:val="fr-FR"/>
        </w:rPr>
        <w:t>Dimitropoulos</w:t>
      </w:r>
      <w:r w:rsidRPr="008275EC">
        <w:rPr>
          <w:rFonts w:eastAsia="Arial Unicode MS"/>
          <w:szCs w:val="24"/>
          <w:bdr w:val="nil"/>
          <w:lang w:val="el-GR"/>
        </w:rPr>
        <w:t xml:space="preserve"> </w:t>
      </w:r>
      <w:r w:rsidRPr="008275EC">
        <w:rPr>
          <w:rFonts w:eastAsia="Arial Unicode MS"/>
          <w:i/>
          <w:iCs/>
          <w:szCs w:val="24"/>
          <w:bdr w:val="nil"/>
        </w:rPr>
        <w:t>et</w:t>
      </w:r>
      <w:r w:rsidRPr="008275EC">
        <w:rPr>
          <w:rFonts w:eastAsia="Arial Unicode MS"/>
          <w:i/>
          <w:iCs/>
          <w:szCs w:val="24"/>
          <w:bdr w:val="nil"/>
          <w:lang w:val="el-GR"/>
        </w:rPr>
        <w:t xml:space="preserve"> </w:t>
      </w:r>
      <w:r w:rsidRPr="008275EC">
        <w:rPr>
          <w:rFonts w:eastAsia="Arial Unicode MS"/>
          <w:i/>
          <w:iCs/>
          <w:szCs w:val="24"/>
          <w:bdr w:val="nil"/>
        </w:rPr>
        <w:t>al</w:t>
      </w:r>
      <w:r w:rsidRPr="008275EC">
        <w:rPr>
          <w:rFonts w:eastAsia="Arial Unicode MS"/>
          <w:i/>
          <w:iCs/>
          <w:szCs w:val="24"/>
          <w:bdr w:val="nil"/>
          <w:lang w:val="el-GR"/>
        </w:rPr>
        <w:t>.</w:t>
      </w:r>
      <w:r w:rsidRPr="008275EC">
        <w:rPr>
          <w:rFonts w:eastAsia="Arial Unicode MS"/>
          <w:szCs w:val="24"/>
          <w:bdr w:val="nil"/>
          <w:lang w:val="el-GR"/>
        </w:rPr>
        <w:t xml:space="preserve"> (2010) είχαν βρει αρνητική επίδραση. Ωστόσο, με το ξέσπασμα και το πέρασμα της κρίσης, οι εν λόγω σχέσεις έγιναν θετικές.</w:t>
      </w:r>
    </w:p>
    <w:p w14:paraId="047B1BB5" w14:textId="0F37C44F" w:rsidR="000411FA" w:rsidRDefault="000411FA" w:rsidP="00D81942">
      <w:pPr>
        <w:spacing w:before="200" w:after="200"/>
        <w:ind w:firstLine="709"/>
        <w:rPr>
          <w:rFonts w:eastAsia="Calibri"/>
          <w:szCs w:val="24"/>
          <w:lang w:val="el-GR"/>
        </w:rPr>
      </w:pPr>
      <w:r>
        <w:rPr>
          <w:rFonts w:eastAsia="Calibri"/>
          <w:szCs w:val="24"/>
          <w:lang w:val="el-GR"/>
        </w:rPr>
        <w:t>Όπως έχει ήδη αναφερθεί, η χρονική περίοδος που εξετάστηκε αποτελεί μια περίοδο με σημαντικές διακυμάνσεις και μεταβολές, αλλά και με ακραίες τιμές. Όλες αυτές οι διακυμάνσεις και οι ακραίες τιμές επηρεάζουν σημαντικά τα αποτελέσματα, και εν μέρη και την εγκυρότητα των αποτελεσμάτων. Για παράδειγμα, εξαιτίας των ακραίων τιμών και των σημαντικών μεταβολών, ούτε τα διαγράμματα και τα σχήματα δεν απεικονίζονται σωστά. Αντίστοιχη ανάλυση τα επόμενα χρόνια θα μπορούσε να γίνει, όπου ο ελληνικός τραπεζικός κλάδος δεν θα είχε να αντιμετωπίσει τόσο σημαντικές μεταβολές. Άλλωστε, οι αναλύσεις των οικονομικών καταστάσεων αναφέρονται σε παρελθοντικά γεγονότα, το μέλλον μπορεί να είναι διαφορετικό.</w:t>
      </w:r>
    </w:p>
    <w:p w14:paraId="191F780A" w14:textId="77777777" w:rsidR="00D81942" w:rsidRDefault="008275EC" w:rsidP="00D81942">
      <w:pPr>
        <w:spacing w:before="200" w:after="200"/>
        <w:ind w:firstLine="709"/>
        <w:rPr>
          <w:rFonts w:eastAsia="Calibri"/>
          <w:szCs w:val="24"/>
          <w:lang w:val="el-GR"/>
        </w:rPr>
      </w:pPr>
      <w:r w:rsidRPr="008275EC">
        <w:rPr>
          <w:rFonts w:eastAsia="Calibri"/>
          <w:szCs w:val="24"/>
          <w:lang w:val="el-GR"/>
        </w:rPr>
        <w:t>Ολοκληρώνοντας, με βάση την παραπάνω εργασία μελλοντικές εργασίες θα μπορούσαν να πραγματοποιηθούν. Ερευνητές θα μπορούσαν να διεξάγουν μια αντίστοιχη ανάλυση με διαφορετικό υπό εξέταση χρονικό διάστημα. Θα μπορούσαν για παράδειγμα, να χρησιμοποιήσουν 10 έτη (2011 – 2020), ή 20 έτη (2001 – 2020), ή ακόμη και 25 έτη (1996 – 2020). Μια ευρύτερη περίοδος εξέτασης θα μπορούσε να δώσει περισσότερα και ακριβέστερα στατιστικά σημαντικά αποτελέσματα. Όμως, για τις μεγάλες χρονικές περιόδους (20 ή 25 έτη), ίσως να υπάρξει ο περιορισμός της έλλειψης/ απουσίας των απαραίτητων οικονομικών δεδομένων και χρηματοοικονομικών εκθέσεων. Ακόμη, ερευνητές θα μπορούσαν να κάνουν ίδια ανάλυση στο μέλλον (σε 10 ή 15 χρόνια από τώρα), εξετάζοντας την τότε συσχέτιση και συγκρίνοντας τα τότε αποτελέσματα με τα αποτελέσματα της εν λόγω εργασίας.</w:t>
      </w:r>
    </w:p>
    <w:p w14:paraId="10E358D2" w14:textId="60D65248" w:rsidR="008275EC" w:rsidRPr="008275EC" w:rsidRDefault="008275EC" w:rsidP="00D81942">
      <w:pPr>
        <w:spacing w:before="200" w:after="200"/>
        <w:ind w:firstLine="709"/>
        <w:rPr>
          <w:rFonts w:eastAsia="Calibri"/>
          <w:szCs w:val="24"/>
          <w:lang w:val="el-GR"/>
        </w:rPr>
      </w:pPr>
      <w:r w:rsidRPr="008275EC">
        <w:rPr>
          <w:rFonts w:eastAsia="Calibri"/>
          <w:szCs w:val="24"/>
          <w:lang w:val="el-GR"/>
        </w:rPr>
        <w:t xml:space="preserve">Επιπλέον, ερευνητές θα ήταν ενδιαφέρον να εξετάσουν εάν τα αποτελέσματα της παρούσας εργασίας ποικίλλουν στις αλλαγές των οικονομικών δεικτών και των χρηματοπιστωτικών δεικτών. Θα μπορούσε, λοιπόν, να γίνει ίδια ανάλυση, με την ίδια χρονική περίοδο, αλλά με διαφορετικούς χρηματοοικονομικούς δείκτες (άλλους δείκτες κερδοφορίας και κινδύνων). Τέλος, ερευνητές θα μπορούσαν να κάνουν παρόμοια ανάλυση εστιάζοντας σε </w:t>
      </w:r>
      <w:r w:rsidRPr="008275EC">
        <w:rPr>
          <w:rFonts w:eastAsia="Calibri"/>
          <w:szCs w:val="24"/>
          <w:lang w:val="el-GR"/>
        </w:rPr>
        <w:lastRenderedPageBreak/>
        <w:t>άλλους σημαντικούς τομείς (η χρηματοπιστωτική κρίση επηρέασε διαφορετικούς τομείς των οικονομιών, όχι μόνο τον χρηματοπιστωτικό τομέα).</w:t>
      </w:r>
    </w:p>
    <w:p w14:paraId="7CD31EAB" w14:textId="77777777" w:rsidR="008275EC" w:rsidRPr="008275EC" w:rsidRDefault="008275EC" w:rsidP="008275EC">
      <w:pPr>
        <w:pBdr>
          <w:top w:val="nil"/>
          <w:left w:val="nil"/>
          <w:bottom w:val="nil"/>
          <w:right w:val="nil"/>
          <w:between w:val="nil"/>
          <w:bar w:val="nil"/>
        </w:pBdr>
        <w:spacing w:before="200" w:after="200"/>
        <w:ind w:firstLine="0"/>
        <w:rPr>
          <w:rFonts w:eastAsia="Calibri"/>
          <w:i/>
          <w:iCs/>
          <w:szCs w:val="24"/>
          <w:lang w:val="el-GR"/>
        </w:rPr>
      </w:pPr>
      <w:r w:rsidRPr="008275EC">
        <w:rPr>
          <w:rFonts w:eastAsia="Calibri"/>
          <w:i/>
          <w:iCs/>
          <w:szCs w:val="24"/>
          <w:lang w:val="el-GR"/>
        </w:rPr>
        <w:br w:type="page"/>
      </w:r>
    </w:p>
    <w:p w14:paraId="23F6015B" w14:textId="77777777" w:rsidR="003138A2" w:rsidRPr="00177F36" w:rsidRDefault="003138A2" w:rsidP="00C57997">
      <w:pPr>
        <w:pStyle w:val="1"/>
      </w:pPr>
      <w:bookmarkStart w:id="115" w:name="_Toc443485442"/>
      <w:r>
        <w:lastRenderedPageBreak/>
        <w:t>βιβλιογραφια</w:t>
      </w:r>
      <w:bookmarkEnd w:id="115"/>
    </w:p>
    <w:p w14:paraId="718B3559" w14:textId="77777777" w:rsidR="008275EC" w:rsidRPr="008275EC" w:rsidRDefault="008275EC" w:rsidP="0082514D">
      <w:pPr>
        <w:pBdr>
          <w:top w:val="nil"/>
          <w:left w:val="nil"/>
          <w:bottom w:val="nil"/>
          <w:right w:val="nil"/>
          <w:between w:val="nil"/>
          <w:bar w:val="nil"/>
        </w:pBdr>
        <w:spacing w:before="200" w:after="200"/>
        <w:ind w:firstLine="0"/>
        <w:jc w:val="center"/>
        <w:rPr>
          <w:rFonts w:eastAsia="Calibri"/>
          <w:b/>
          <w:bCs/>
          <w:szCs w:val="24"/>
          <w:lang w:val="el-GR"/>
        </w:rPr>
      </w:pPr>
      <w:r w:rsidRPr="008275EC">
        <w:rPr>
          <w:rFonts w:eastAsia="Calibri"/>
          <w:b/>
          <w:bCs/>
          <w:szCs w:val="24"/>
          <w:lang w:val="el-GR"/>
        </w:rPr>
        <w:t>ΒΙΒΛΙΑ &amp; ΑΡΘΡΑ</w:t>
      </w:r>
    </w:p>
    <w:p w14:paraId="048A8063" w14:textId="6D807D43"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Calibri"/>
          <w:b/>
          <w:bCs/>
          <w:szCs w:val="24"/>
          <w:u w:val="single"/>
          <w:lang w:val="el-GR"/>
        </w:rPr>
        <w:fldChar w:fldCharType="begin"/>
      </w:r>
      <w:r w:rsidRPr="008275EC">
        <w:rPr>
          <w:rFonts w:eastAsia="Calibri"/>
          <w:b/>
          <w:bCs/>
          <w:szCs w:val="24"/>
          <w:u w:val="single"/>
          <w:lang w:val="el-GR"/>
        </w:rPr>
        <w:instrText xml:space="preserve"> </w:instrText>
      </w:r>
      <w:r w:rsidRPr="008275EC">
        <w:rPr>
          <w:rFonts w:eastAsia="Calibri"/>
          <w:b/>
          <w:bCs/>
          <w:szCs w:val="24"/>
          <w:u w:val="single"/>
        </w:rPr>
        <w:instrText>BIBLIOGRAPHY</w:instrText>
      </w:r>
      <w:r w:rsidRPr="008275EC">
        <w:rPr>
          <w:rFonts w:eastAsia="Calibri"/>
          <w:b/>
          <w:bCs/>
          <w:szCs w:val="24"/>
          <w:u w:val="single"/>
          <w:lang w:val="el-GR"/>
        </w:rPr>
        <w:instrText xml:space="preserve">  \</w:instrText>
      </w:r>
      <w:r w:rsidRPr="008275EC">
        <w:rPr>
          <w:rFonts w:eastAsia="Calibri"/>
          <w:b/>
          <w:bCs/>
          <w:szCs w:val="24"/>
          <w:u w:val="single"/>
        </w:rPr>
        <w:instrText>l</w:instrText>
      </w:r>
      <w:r w:rsidRPr="008275EC">
        <w:rPr>
          <w:rFonts w:eastAsia="Calibri"/>
          <w:b/>
          <w:bCs/>
          <w:szCs w:val="24"/>
          <w:u w:val="single"/>
          <w:lang w:val="el-GR"/>
        </w:rPr>
        <w:instrText xml:space="preserve"> 1032 </w:instrText>
      </w:r>
      <w:r w:rsidRPr="008275EC">
        <w:rPr>
          <w:rFonts w:eastAsia="Calibri"/>
          <w:b/>
          <w:bCs/>
          <w:szCs w:val="24"/>
          <w:u w:val="single"/>
          <w:lang w:val="el-GR"/>
        </w:rPr>
        <w:fldChar w:fldCharType="separate"/>
      </w:r>
      <w:r w:rsidRPr="008275EC">
        <w:rPr>
          <w:rFonts w:eastAsia="Arial Unicode MS"/>
          <w:noProof/>
          <w:szCs w:val="24"/>
          <w:bdr w:val="nil"/>
        </w:rPr>
        <w:t>Anwaar</w:t>
      </w:r>
      <w:r w:rsidRPr="008275EC">
        <w:rPr>
          <w:rFonts w:eastAsia="Arial Unicode MS"/>
          <w:noProof/>
          <w:szCs w:val="24"/>
          <w:bdr w:val="nil"/>
          <w:lang w:val="el-GR"/>
        </w:rPr>
        <w:t xml:space="preserve">, </w:t>
      </w:r>
      <w:r w:rsidRPr="008275EC">
        <w:rPr>
          <w:rFonts w:eastAsia="Arial Unicode MS"/>
          <w:noProof/>
          <w:szCs w:val="24"/>
          <w:bdr w:val="nil"/>
        </w:rPr>
        <w:t>M</w:t>
      </w:r>
      <w:r w:rsidRPr="008275EC">
        <w:rPr>
          <w:rFonts w:eastAsia="Arial Unicode MS"/>
          <w:noProof/>
          <w:szCs w:val="24"/>
          <w:bdr w:val="nil"/>
          <w:lang w:val="el-GR"/>
        </w:rPr>
        <w:t xml:space="preserve">. (2016). </w:t>
      </w:r>
      <w:r w:rsidRPr="008275EC">
        <w:rPr>
          <w:rFonts w:eastAsia="Arial Unicode MS"/>
          <w:noProof/>
          <w:szCs w:val="24"/>
          <w:bdr w:val="nil"/>
        </w:rPr>
        <w:t xml:space="preserve">Impact of Firms’ Performance on Stock Returns (Evidence from Listed Companies of FTSE-100 Index London, UK). Global Journal of Management and Business Research: Accounting and Auditing, 16(01), </w:t>
      </w:r>
      <w:r w:rsidR="00E36C0B" w:rsidRPr="003138A2">
        <w:rPr>
          <w:rFonts w:eastAsia="Arial Unicode MS"/>
          <w:noProof/>
          <w:szCs w:val="24"/>
          <w:bdr w:val="nil"/>
        </w:rPr>
        <w:t>pp</w:t>
      </w:r>
      <w:r w:rsidRPr="008275EC">
        <w:rPr>
          <w:rFonts w:eastAsia="Arial Unicode MS"/>
          <w:noProof/>
          <w:szCs w:val="24"/>
          <w:bdr w:val="nil"/>
        </w:rPr>
        <w:t>. 31 - 39.</w:t>
      </w:r>
    </w:p>
    <w:p w14:paraId="506BFC8D" w14:textId="406EF361"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 xml:space="preserve">Başarır, Ç., &amp; Ülker, Y. (2015). Relationship Between Financial Performance Of Banks and Stock Revenues: Panel Data Analysis. Journal of Applied Finance &amp; Banking, </w:t>
      </w:r>
      <w:r w:rsidR="0084609F">
        <w:rPr>
          <w:rFonts w:eastAsia="Arial Unicode MS"/>
          <w:noProof/>
          <w:szCs w:val="24"/>
          <w:bdr w:val="nil"/>
        </w:rPr>
        <w:t>0</w:t>
      </w:r>
      <w:r w:rsidRPr="008275EC">
        <w:rPr>
          <w:rFonts w:eastAsia="Arial Unicode MS"/>
          <w:noProof/>
          <w:szCs w:val="24"/>
          <w:bdr w:val="nil"/>
        </w:rPr>
        <w:t>5 (</w:t>
      </w:r>
      <w:r w:rsidR="0084609F">
        <w:rPr>
          <w:rFonts w:eastAsia="Arial Unicode MS"/>
          <w:noProof/>
          <w:szCs w:val="24"/>
          <w:bdr w:val="nil"/>
        </w:rPr>
        <w:t>0</w:t>
      </w:r>
      <w:r w:rsidRPr="008275EC">
        <w:rPr>
          <w:rFonts w:eastAsia="Arial Unicode MS"/>
          <w:noProof/>
          <w:szCs w:val="24"/>
          <w:bdr w:val="nil"/>
        </w:rPr>
        <w:t xml:space="preserve">5), </w:t>
      </w:r>
      <w:r w:rsidR="00E36C0B" w:rsidRPr="003138A2">
        <w:rPr>
          <w:rFonts w:eastAsia="Arial Unicode MS"/>
          <w:noProof/>
          <w:szCs w:val="24"/>
          <w:bdr w:val="nil"/>
        </w:rPr>
        <w:t>pp</w:t>
      </w:r>
      <w:r w:rsidRPr="008275EC">
        <w:rPr>
          <w:rFonts w:eastAsia="Arial Unicode MS"/>
          <w:noProof/>
          <w:szCs w:val="24"/>
          <w:bdr w:val="nil"/>
        </w:rPr>
        <w:t>. 171 - 183.</w:t>
      </w:r>
    </w:p>
    <w:p w14:paraId="59C49BF7" w14:textId="77777777"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Berk, J., &amp; DeMarzo, P. (2014). Corporate Finance. Harlow, Essex, UK: Pearson Education Limited.</w:t>
      </w:r>
    </w:p>
    <w:p w14:paraId="66A03E66" w14:textId="383012F8"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lang w:val="fr-FR"/>
        </w:rPr>
        <w:t xml:space="preserve">Dimitropoulos, E. P., Asteriou, D., &amp; Koumanakos, E. (2010). </w:t>
      </w:r>
      <w:r w:rsidRPr="008275EC">
        <w:rPr>
          <w:rFonts w:eastAsia="Arial Unicode MS"/>
          <w:noProof/>
          <w:szCs w:val="24"/>
          <w:bdr w:val="nil"/>
        </w:rPr>
        <w:t xml:space="preserve">The relevance of earnings and cash flows in a heavily regulated industry: Evidence from the Greek banking sector. Advances in Accounting, incorporating Advances in International Accounting, 26, </w:t>
      </w:r>
      <w:r w:rsidR="00E36C0B" w:rsidRPr="003138A2">
        <w:rPr>
          <w:rFonts w:eastAsia="Arial Unicode MS"/>
          <w:noProof/>
          <w:szCs w:val="24"/>
          <w:bdr w:val="nil"/>
        </w:rPr>
        <w:t>pp</w:t>
      </w:r>
      <w:r w:rsidRPr="008275EC">
        <w:rPr>
          <w:rFonts w:eastAsia="Arial Unicode MS"/>
          <w:noProof/>
          <w:szCs w:val="24"/>
          <w:bdr w:val="nil"/>
        </w:rPr>
        <w:t>. 290 - 303.</w:t>
      </w:r>
    </w:p>
    <w:p w14:paraId="2C86CFEF" w14:textId="51E536B0"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 xml:space="preserve">Hove, K., Shoko, T., Shoko, J., Dube, S. D., &amp; Nyoni, T. (2020). </w:t>
      </w:r>
      <w:r w:rsidR="0084609F" w:rsidRPr="008275EC">
        <w:rPr>
          <w:rFonts w:eastAsia="Arial Unicode MS"/>
          <w:noProof/>
          <w:szCs w:val="24"/>
          <w:bdr w:val="nil"/>
        </w:rPr>
        <w:t xml:space="preserve">Correlation Between Stock Price </w:t>
      </w:r>
      <w:r w:rsidR="0084609F">
        <w:rPr>
          <w:rFonts w:eastAsia="Arial Unicode MS"/>
          <w:noProof/>
          <w:szCs w:val="24"/>
          <w:bdr w:val="nil"/>
        </w:rPr>
        <w:t>a</w:t>
      </w:r>
      <w:r w:rsidR="0084609F" w:rsidRPr="008275EC">
        <w:rPr>
          <w:rFonts w:eastAsia="Arial Unicode MS"/>
          <w:noProof/>
          <w:szCs w:val="24"/>
          <w:bdr w:val="nil"/>
        </w:rPr>
        <w:t xml:space="preserve">nd Financial Performance </w:t>
      </w:r>
      <w:r w:rsidR="0084609F">
        <w:rPr>
          <w:rFonts w:eastAsia="Arial Unicode MS"/>
          <w:noProof/>
          <w:szCs w:val="24"/>
          <w:bdr w:val="nil"/>
        </w:rPr>
        <w:t>o</w:t>
      </w:r>
      <w:r w:rsidR="0084609F" w:rsidRPr="008275EC">
        <w:rPr>
          <w:rFonts w:eastAsia="Arial Unicode MS"/>
          <w:noProof/>
          <w:szCs w:val="24"/>
          <w:bdr w:val="nil"/>
        </w:rPr>
        <w:t>f ZSE Quoted Banking Financial Institutions (December 2009-June 2018)</w:t>
      </w:r>
      <w:r w:rsidRPr="008275EC">
        <w:rPr>
          <w:rFonts w:eastAsia="Arial Unicode MS"/>
          <w:noProof/>
          <w:szCs w:val="24"/>
          <w:bdr w:val="nil"/>
        </w:rPr>
        <w:t xml:space="preserve">. EPRA International Journal of Economics, Business and Management Studies (EBMS), </w:t>
      </w:r>
      <w:r w:rsidR="0084609F">
        <w:rPr>
          <w:rFonts w:eastAsia="Arial Unicode MS"/>
          <w:noProof/>
          <w:szCs w:val="24"/>
          <w:bdr w:val="nil"/>
        </w:rPr>
        <w:t>0</w:t>
      </w:r>
      <w:r w:rsidRPr="008275EC">
        <w:rPr>
          <w:rFonts w:eastAsia="Arial Unicode MS"/>
          <w:noProof/>
          <w:szCs w:val="24"/>
          <w:bdr w:val="nil"/>
        </w:rPr>
        <w:t>7(</w:t>
      </w:r>
      <w:r w:rsidR="0084609F">
        <w:rPr>
          <w:rFonts w:eastAsia="Arial Unicode MS"/>
          <w:noProof/>
          <w:szCs w:val="24"/>
          <w:bdr w:val="nil"/>
        </w:rPr>
        <w:t>0</w:t>
      </w:r>
      <w:r w:rsidRPr="008275EC">
        <w:rPr>
          <w:rFonts w:eastAsia="Arial Unicode MS"/>
          <w:noProof/>
          <w:szCs w:val="24"/>
          <w:bdr w:val="nil"/>
        </w:rPr>
        <w:t xml:space="preserve">3), </w:t>
      </w:r>
      <w:r w:rsidR="00E36C0B" w:rsidRPr="003138A2">
        <w:rPr>
          <w:rFonts w:eastAsia="Arial Unicode MS"/>
          <w:noProof/>
          <w:szCs w:val="24"/>
          <w:bdr w:val="nil"/>
        </w:rPr>
        <w:t>pp</w:t>
      </w:r>
      <w:r w:rsidRPr="008275EC">
        <w:rPr>
          <w:rFonts w:eastAsia="Arial Unicode MS"/>
          <w:noProof/>
          <w:szCs w:val="24"/>
          <w:bdr w:val="nil"/>
        </w:rPr>
        <w:t>. 28 - 42.</w:t>
      </w:r>
    </w:p>
    <w:p w14:paraId="4AE3C77C" w14:textId="1B50F7FC"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 xml:space="preserve">Idowu, J., Olokoyo, F. O., Idowu, A., Akinrin, S., &amp; Osifo, S. (2018). </w:t>
      </w:r>
      <w:r w:rsidR="0084609F" w:rsidRPr="008275EC">
        <w:rPr>
          <w:rFonts w:eastAsia="Arial Unicode MS"/>
          <w:noProof/>
          <w:szCs w:val="24"/>
          <w:bdr w:val="nil"/>
        </w:rPr>
        <w:t xml:space="preserve">Banks’ Financial Performance </w:t>
      </w:r>
      <w:r w:rsidR="0084609F">
        <w:rPr>
          <w:rFonts w:eastAsia="Arial Unicode MS"/>
          <w:noProof/>
          <w:szCs w:val="24"/>
          <w:bdr w:val="nil"/>
        </w:rPr>
        <w:t>a</w:t>
      </w:r>
      <w:r w:rsidR="0084609F" w:rsidRPr="008275EC">
        <w:rPr>
          <w:rFonts w:eastAsia="Arial Unicode MS"/>
          <w:noProof/>
          <w:szCs w:val="24"/>
          <w:bdr w:val="nil"/>
        </w:rPr>
        <w:t xml:space="preserve">nd Stock Returns </w:t>
      </w:r>
      <w:r w:rsidR="0084609F">
        <w:rPr>
          <w:rFonts w:eastAsia="Arial Unicode MS"/>
          <w:noProof/>
          <w:szCs w:val="24"/>
          <w:bdr w:val="nil"/>
        </w:rPr>
        <w:t>i</w:t>
      </w:r>
      <w:r w:rsidR="0084609F" w:rsidRPr="008275EC">
        <w:rPr>
          <w:rFonts w:eastAsia="Arial Unicode MS"/>
          <w:noProof/>
          <w:szCs w:val="24"/>
          <w:bdr w:val="nil"/>
        </w:rPr>
        <w:t>n Nigeria</w:t>
      </w:r>
      <w:r w:rsidRPr="008275EC">
        <w:rPr>
          <w:rFonts w:eastAsia="Arial Unicode MS"/>
          <w:noProof/>
          <w:szCs w:val="24"/>
          <w:bdr w:val="nil"/>
        </w:rPr>
        <w:t xml:space="preserve">. International Journal of Research in Business, Economics and Management, </w:t>
      </w:r>
      <w:r w:rsidR="0084609F">
        <w:rPr>
          <w:rFonts w:eastAsia="Arial Unicode MS"/>
          <w:noProof/>
          <w:szCs w:val="24"/>
          <w:bdr w:val="nil"/>
        </w:rPr>
        <w:t>0</w:t>
      </w:r>
      <w:r w:rsidRPr="008275EC">
        <w:rPr>
          <w:rFonts w:eastAsia="Arial Unicode MS"/>
          <w:noProof/>
          <w:szCs w:val="24"/>
          <w:bdr w:val="nil"/>
        </w:rPr>
        <w:t>2(</w:t>
      </w:r>
      <w:r w:rsidR="0084609F">
        <w:rPr>
          <w:rFonts w:eastAsia="Arial Unicode MS"/>
          <w:noProof/>
          <w:szCs w:val="24"/>
          <w:bdr w:val="nil"/>
        </w:rPr>
        <w:t>0</w:t>
      </w:r>
      <w:r w:rsidRPr="008275EC">
        <w:rPr>
          <w:rFonts w:eastAsia="Arial Unicode MS"/>
          <w:noProof/>
          <w:szCs w:val="24"/>
          <w:bdr w:val="nil"/>
        </w:rPr>
        <w:t xml:space="preserve">4), </w:t>
      </w:r>
      <w:r w:rsidR="00E36C0B" w:rsidRPr="003138A2">
        <w:rPr>
          <w:rFonts w:eastAsia="Arial Unicode MS"/>
          <w:noProof/>
          <w:szCs w:val="24"/>
          <w:bdr w:val="nil"/>
        </w:rPr>
        <w:t>pp</w:t>
      </w:r>
      <w:r w:rsidRPr="008275EC">
        <w:rPr>
          <w:rFonts w:eastAsia="Arial Unicode MS"/>
          <w:noProof/>
          <w:szCs w:val="24"/>
          <w:bdr w:val="nil"/>
        </w:rPr>
        <w:t>. 62 - 69.</w:t>
      </w:r>
    </w:p>
    <w:p w14:paraId="1F68BAB6" w14:textId="301CD3AA"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 xml:space="preserve">Kirkwood, J., &amp; Nahm, D. (2006). </w:t>
      </w:r>
      <w:r w:rsidR="0084609F" w:rsidRPr="008275EC">
        <w:rPr>
          <w:rFonts w:eastAsia="Arial Unicode MS"/>
          <w:noProof/>
          <w:szCs w:val="24"/>
          <w:bdr w:val="nil"/>
        </w:rPr>
        <w:t xml:space="preserve">Australian Banking Efficiency </w:t>
      </w:r>
      <w:r w:rsidR="0084609F">
        <w:rPr>
          <w:rFonts w:eastAsia="Arial Unicode MS"/>
          <w:noProof/>
          <w:szCs w:val="24"/>
          <w:bdr w:val="nil"/>
        </w:rPr>
        <w:t>a</w:t>
      </w:r>
      <w:r w:rsidR="0084609F" w:rsidRPr="008275EC">
        <w:rPr>
          <w:rFonts w:eastAsia="Arial Unicode MS"/>
          <w:noProof/>
          <w:szCs w:val="24"/>
          <w:bdr w:val="nil"/>
        </w:rPr>
        <w:t xml:space="preserve">nd </w:t>
      </w:r>
      <w:r w:rsidR="0084609F">
        <w:rPr>
          <w:rFonts w:eastAsia="Arial Unicode MS"/>
          <w:noProof/>
          <w:szCs w:val="24"/>
          <w:bdr w:val="nil"/>
        </w:rPr>
        <w:t>i</w:t>
      </w:r>
      <w:r w:rsidR="0084609F" w:rsidRPr="008275EC">
        <w:rPr>
          <w:rFonts w:eastAsia="Arial Unicode MS"/>
          <w:noProof/>
          <w:szCs w:val="24"/>
          <w:bdr w:val="nil"/>
        </w:rPr>
        <w:t xml:space="preserve">ts Relation </w:t>
      </w:r>
      <w:r w:rsidR="0084609F">
        <w:rPr>
          <w:rFonts w:eastAsia="Arial Unicode MS"/>
          <w:noProof/>
          <w:szCs w:val="24"/>
          <w:bdr w:val="nil"/>
        </w:rPr>
        <w:t>t</w:t>
      </w:r>
      <w:r w:rsidR="0084609F" w:rsidRPr="008275EC">
        <w:rPr>
          <w:rFonts w:eastAsia="Arial Unicode MS"/>
          <w:noProof/>
          <w:szCs w:val="24"/>
          <w:bdr w:val="nil"/>
        </w:rPr>
        <w:t>o Stock Returns</w:t>
      </w:r>
      <w:r w:rsidRPr="008275EC">
        <w:rPr>
          <w:rFonts w:eastAsia="Arial Unicode MS"/>
          <w:noProof/>
          <w:szCs w:val="24"/>
          <w:bdr w:val="nil"/>
        </w:rPr>
        <w:t xml:space="preserve">. The Economic Record, 82, </w:t>
      </w:r>
      <w:r w:rsidR="00E36C0B" w:rsidRPr="003138A2">
        <w:rPr>
          <w:rFonts w:eastAsia="Arial Unicode MS"/>
          <w:noProof/>
          <w:szCs w:val="24"/>
          <w:bdr w:val="nil"/>
        </w:rPr>
        <w:t>pp</w:t>
      </w:r>
      <w:r w:rsidRPr="008275EC">
        <w:rPr>
          <w:rFonts w:eastAsia="Arial Unicode MS"/>
          <w:noProof/>
          <w:szCs w:val="24"/>
          <w:bdr w:val="nil"/>
        </w:rPr>
        <w:t>. 253 - 267.</w:t>
      </w:r>
    </w:p>
    <w:p w14:paraId="0FCFA9B8" w14:textId="0C463938"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Liadaki, A., &amp; Gaganis, C. (2010). Efficiency and stock performance of EU banks: Is there a relationship? Omega, 38(</w:t>
      </w:r>
      <w:r w:rsidR="0084609F">
        <w:rPr>
          <w:rFonts w:eastAsia="Arial Unicode MS"/>
          <w:noProof/>
          <w:szCs w:val="24"/>
          <w:bdr w:val="nil"/>
        </w:rPr>
        <w:t>0</w:t>
      </w:r>
      <w:r w:rsidRPr="008275EC">
        <w:rPr>
          <w:rFonts w:eastAsia="Arial Unicode MS"/>
          <w:noProof/>
          <w:szCs w:val="24"/>
          <w:bdr w:val="nil"/>
        </w:rPr>
        <w:t xml:space="preserve">5), </w:t>
      </w:r>
      <w:r w:rsidR="00E36C0B" w:rsidRPr="003138A2">
        <w:rPr>
          <w:rFonts w:eastAsia="Arial Unicode MS"/>
          <w:noProof/>
          <w:szCs w:val="24"/>
          <w:bdr w:val="nil"/>
        </w:rPr>
        <w:t>pp</w:t>
      </w:r>
      <w:r w:rsidRPr="008275EC">
        <w:rPr>
          <w:rFonts w:eastAsia="Arial Unicode MS"/>
          <w:noProof/>
          <w:szCs w:val="24"/>
          <w:bdr w:val="nil"/>
        </w:rPr>
        <w:t>. 254 - 259.</w:t>
      </w:r>
    </w:p>
    <w:p w14:paraId="2CAEA3E7" w14:textId="07E915DE"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 xml:space="preserve">Ndirangu, N. (2016). </w:t>
      </w:r>
      <w:r w:rsidR="003138A2" w:rsidRPr="008275EC">
        <w:rPr>
          <w:rFonts w:eastAsia="Arial Unicode MS"/>
          <w:noProof/>
          <w:szCs w:val="24"/>
          <w:bdr w:val="nil"/>
        </w:rPr>
        <w:t xml:space="preserve">Relationship Between Firms’ Financial Performance </w:t>
      </w:r>
      <w:r w:rsidR="003138A2">
        <w:rPr>
          <w:rFonts w:eastAsia="Arial Unicode MS"/>
          <w:noProof/>
          <w:szCs w:val="24"/>
          <w:bdr w:val="nil"/>
        </w:rPr>
        <w:t>a</w:t>
      </w:r>
      <w:r w:rsidR="003138A2" w:rsidRPr="008275EC">
        <w:rPr>
          <w:rFonts w:eastAsia="Arial Unicode MS"/>
          <w:noProof/>
          <w:szCs w:val="24"/>
          <w:bdr w:val="nil"/>
        </w:rPr>
        <w:t xml:space="preserve">nd Stock Return </w:t>
      </w:r>
      <w:r w:rsidR="003138A2">
        <w:rPr>
          <w:rFonts w:eastAsia="Arial Unicode MS"/>
          <w:noProof/>
          <w:szCs w:val="24"/>
          <w:bdr w:val="nil"/>
        </w:rPr>
        <w:t>f</w:t>
      </w:r>
      <w:r w:rsidR="003138A2" w:rsidRPr="008275EC">
        <w:rPr>
          <w:rFonts w:eastAsia="Arial Unicode MS"/>
          <w:noProof/>
          <w:szCs w:val="24"/>
          <w:bdr w:val="nil"/>
        </w:rPr>
        <w:t xml:space="preserve">or Firms Listed </w:t>
      </w:r>
      <w:r w:rsidR="003138A2">
        <w:rPr>
          <w:rFonts w:eastAsia="Arial Unicode MS"/>
          <w:noProof/>
          <w:szCs w:val="24"/>
          <w:bdr w:val="nil"/>
        </w:rPr>
        <w:t>a</w:t>
      </w:r>
      <w:r w:rsidR="003138A2" w:rsidRPr="008275EC">
        <w:rPr>
          <w:rFonts w:eastAsia="Arial Unicode MS"/>
          <w:noProof/>
          <w:szCs w:val="24"/>
          <w:bdr w:val="nil"/>
        </w:rPr>
        <w:t xml:space="preserve">t Nairobi Securities Exchange. A Research Project Submitted </w:t>
      </w:r>
      <w:r w:rsidR="003138A2">
        <w:rPr>
          <w:rFonts w:eastAsia="Arial Unicode MS"/>
          <w:noProof/>
          <w:szCs w:val="24"/>
          <w:bdr w:val="nil"/>
        </w:rPr>
        <w:t>i</w:t>
      </w:r>
      <w:r w:rsidR="003138A2" w:rsidRPr="008275EC">
        <w:rPr>
          <w:rFonts w:eastAsia="Arial Unicode MS"/>
          <w:noProof/>
          <w:szCs w:val="24"/>
          <w:bdr w:val="nil"/>
        </w:rPr>
        <w:t xml:space="preserve">n Partial Fulfillment </w:t>
      </w:r>
      <w:r w:rsidR="003138A2">
        <w:rPr>
          <w:rFonts w:eastAsia="Arial Unicode MS"/>
          <w:noProof/>
          <w:szCs w:val="24"/>
          <w:bdr w:val="nil"/>
        </w:rPr>
        <w:t>o</w:t>
      </w:r>
      <w:r w:rsidR="003138A2" w:rsidRPr="008275EC">
        <w:rPr>
          <w:rFonts w:eastAsia="Arial Unicode MS"/>
          <w:noProof/>
          <w:szCs w:val="24"/>
          <w:bdr w:val="nil"/>
        </w:rPr>
        <w:t xml:space="preserve">f </w:t>
      </w:r>
      <w:r w:rsidR="003138A2">
        <w:rPr>
          <w:rFonts w:eastAsia="Arial Unicode MS"/>
          <w:noProof/>
          <w:szCs w:val="24"/>
          <w:bdr w:val="nil"/>
        </w:rPr>
        <w:t>t</w:t>
      </w:r>
      <w:r w:rsidR="003138A2" w:rsidRPr="008275EC">
        <w:rPr>
          <w:rFonts w:eastAsia="Arial Unicode MS"/>
          <w:noProof/>
          <w:szCs w:val="24"/>
          <w:bdr w:val="nil"/>
        </w:rPr>
        <w:t xml:space="preserve">he Requirements </w:t>
      </w:r>
      <w:r w:rsidR="003138A2">
        <w:rPr>
          <w:rFonts w:eastAsia="Arial Unicode MS"/>
          <w:noProof/>
          <w:szCs w:val="24"/>
          <w:bdr w:val="nil"/>
        </w:rPr>
        <w:t>f</w:t>
      </w:r>
      <w:r w:rsidR="003138A2" w:rsidRPr="008275EC">
        <w:rPr>
          <w:rFonts w:eastAsia="Arial Unicode MS"/>
          <w:noProof/>
          <w:szCs w:val="24"/>
          <w:bdr w:val="nil"/>
        </w:rPr>
        <w:t xml:space="preserve">or </w:t>
      </w:r>
      <w:r w:rsidR="003138A2">
        <w:rPr>
          <w:rFonts w:eastAsia="Arial Unicode MS"/>
          <w:noProof/>
          <w:szCs w:val="24"/>
          <w:bdr w:val="nil"/>
        </w:rPr>
        <w:t>t</w:t>
      </w:r>
      <w:r w:rsidR="003138A2" w:rsidRPr="008275EC">
        <w:rPr>
          <w:rFonts w:eastAsia="Arial Unicode MS"/>
          <w:noProof/>
          <w:szCs w:val="24"/>
          <w:bdr w:val="nil"/>
        </w:rPr>
        <w:t xml:space="preserve">he Award </w:t>
      </w:r>
      <w:r w:rsidR="003138A2">
        <w:rPr>
          <w:rFonts w:eastAsia="Arial Unicode MS"/>
          <w:noProof/>
          <w:szCs w:val="24"/>
          <w:bdr w:val="nil"/>
        </w:rPr>
        <w:t>o</w:t>
      </w:r>
      <w:r w:rsidR="003138A2" w:rsidRPr="008275EC">
        <w:rPr>
          <w:rFonts w:eastAsia="Arial Unicode MS"/>
          <w:noProof/>
          <w:szCs w:val="24"/>
          <w:bdr w:val="nil"/>
        </w:rPr>
        <w:t xml:space="preserve">f </w:t>
      </w:r>
      <w:r w:rsidR="003138A2">
        <w:rPr>
          <w:rFonts w:eastAsia="Arial Unicode MS"/>
          <w:noProof/>
          <w:szCs w:val="24"/>
          <w:bdr w:val="nil"/>
        </w:rPr>
        <w:t>t</w:t>
      </w:r>
      <w:r w:rsidR="003138A2" w:rsidRPr="008275EC">
        <w:rPr>
          <w:rFonts w:eastAsia="Arial Unicode MS"/>
          <w:noProof/>
          <w:szCs w:val="24"/>
          <w:bdr w:val="nil"/>
        </w:rPr>
        <w:t xml:space="preserve">he Degree </w:t>
      </w:r>
      <w:r w:rsidR="003138A2">
        <w:rPr>
          <w:rFonts w:eastAsia="Arial Unicode MS"/>
          <w:noProof/>
          <w:szCs w:val="24"/>
          <w:bdr w:val="nil"/>
        </w:rPr>
        <w:t>o</w:t>
      </w:r>
      <w:r w:rsidR="003138A2" w:rsidRPr="008275EC">
        <w:rPr>
          <w:rFonts w:eastAsia="Arial Unicode MS"/>
          <w:noProof/>
          <w:szCs w:val="24"/>
          <w:bdr w:val="nil"/>
        </w:rPr>
        <w:t xml:space="preserve">f Master </w:t>
      </w:r>
      <w:r w:rsidR="003138A2">
        <w:rPr>
          <w:rFonts w:eastAsia="Arial Unicode MS"/>
          <w:noProof/>
          <w:szCs w:val="24"/>
          <w:bdr w:val="nil"/>
        </w:rPr>
        <w:t>o</w:t>
      </w:r>
      <w:r w:rsidR="003138A2" w:rsidRPr="008275EC">
        <w:rPr>
          <w:rFonts w:eastAsia="Arial Unicode MS"/>
          <w:noProof/>
          <w:szCs w:val="24"/>
          <w:bdr w:val="nil"/>
        </w:rPr>
        <w:t xml:space="preserve">f Business Administration, School </w:t>
      </w:r>
      <w:r w:rsidR="003138A2">
        <w:rPr>
          <w:rFonts w:eastAsia="Arial Unicode MS"/>
          <w:noProof/>
          <w:szCs w:val="24"/>
          <w:bdr w:val="nil"/>
        </w:rPr>
        <w:t>o</w:t>
      </w:r>
      <w:r w:rsidR="003138A2" w:rsidRPr="008275EC">
        <w:rPr>
          <w:rFonts w:eastAsia="Arial Unicode MS"/>
          <w:noProof/>
          <w:szCs w:val="24"/>
          <w:bdr w:val="nil"/>
        </w:rPr>
        <w:t xml:space="preserve">f Business, University </w:t>
      </w:r>
      <w:r w:rsidR="003138A2">
        <w:rPr>
          <w:rFonts w:eastAsia="Arial Unicode MS"/>
          <w:noProof/>
          <w:szCs w:val="24"/>
          <w:bdr w:val="nil"/>
        </w:rPr>
        <w:t>o</w:t>
      </w:r>
      <w:r w:rsidR="003138A2" w:rsidRPr="008275EC">
        <w:rPr>
          <w:rFonts w:eastAsia="Arial Unicode MS"/>
          <w:noProof/>
          <w:szCs w:val="24"/>
          <w:bdr w:val="nil"/>
        </w:rPr>
        <w:t>f Nairobi</w:t>
      </w:r>
      <w:r w:rsidRPr="008275EC">
        <w:rPr>
          <w:rFonts w:eastAsia="Arial Unicode MS"/>
          <w:noProof/>
          <w:szCs w:val="24"/>
          <w:bdr w:val="nil"/>
        </w:rPr>
        <w:t>, Nairobi, Kenya.</w:t>
      </w:r>
    </w:p>
    <w:p w14:paraId="42D2A744" w14:textId="60B60951"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lang w:val="fr-FR"/>
        </w:rPr>
        <w:t xml:space="preserve">Pasiouras, F., Liadaki, A., &amp; Zopounidis, C. (2008). </w:t>
      </w:r>
      <w:r w:rsidRPr="008275EC">
        <w:rPr>
          <w:rFonts w:eastAsia="Arial Unicode MS"/>
          <w:noProof/>
          <w:szCs w:val="24"/>
          <w:bdr w:val="nil"/>
        </w:rPr>
        <w:t xml:space="preserve">Bank efficiency and share performance: Evidence from Greece. Applied Financial Economics, 18(14), </w:t>
      </w:r>
      <w:r w:rsidR="00E36C0B" w:rsidRPr="003138A2">
        <w:rPr>
          <w:rFonts w:eastAsia="Arial Unicode MS"/>
          <w:noProof/>
          <w:szCs w:val="24"/>
          <w:bdr w:val="nil"/>
        </w:rPr>
        <w:t>pp</w:t>
      </w:r>
      <w:r w:rsidRPr="008275EC">
        <w:rPr>
          <w:rFonts w:eastAsia="Arial Unicode MS"/>
          <w:noProof/>
          <w:szCs w:val="24"/>
          <w:bdr w:val="nil"/>
        </w:rPr>
        <w:t>. 1121 - 1130.</w:t>
      </w:r>
    </w:p>
    <w:p w14:paraId="2667A715" w14:textId="2EAD2098"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 xml:space="preserve">Patra, T., &amp; Poshakwale, S. (2006). Economic variables and stock market returns: Evidence from the Athens stock exchange. Applied Financial Economics, 16(13), </w:t>
      </w:r>
      <w:r w:rsidR="00E36C0B" w:rsidRPr="003138A2">
        <w:rPr>
          <w:rFonts w:eastAsia="Arial Unicode MS"/>
          <w:noProof/>
          <w:szCs w:val="24"/>
          <w:bdr w:val="nil"/>
        </w:rPr>
        <w:t>pp</w:t>
      </w:r>
      <w:r w:rsidRPr="008275EC">
        <w:rPr>
          <w:rFonts w:eastAsia="Arial Unicode MS"/>
          <w:noProof/>
          <w:szCs w:val="24"/>
          <w:bdr w:val="nil"/>
        </w:rPr>
        <w:t>. 993 - 1005.</w:t>
      </w:r>
    </w:p>
    <w:p w14:paraId="7181A020" w14:textId="7D0DD56F"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Razak, A., Nurfitriana, F. V., Wana, D., Ramli, R., Umar, I., &amp; Endri, E. (2020). The Effects of Financial Performance on Stock Returns: Evidence of Machine and Heavy Equipment Companies in Indonesia. Research in World Economy, 11(</w:t>
      </w:r>
      <w:r w:rsidR="0084609F">
        <w:rPr>
          <w:rFonts w:eastAsia="Arial Unicode MS"/>
          <w:noProof/>
          <w:szCs w:val="24"/>
          <w:bdr w:val="nil"/>
        </w:rPr>
        <w:t>0</w:t>
      </w:r>
      <w:r w:rsidRPr="008275EC">
        <w:rPr>
          <w:rFonts w:eastAsia="Arial Unicode MS"/>
          <w:noProof/>
          <w:szCs w:val="24"/>
          <w:bdr w:val="nil"/>
        </w:rPr>
        <w:t xml:space="preserve">6), </w:t>
      </w:r>
      <w:r w:rsidR="00E36C0B" w:rsidRPr="003138A2">
        <w:rPr>
          <w:rFonts w:eastAsia="Arial Unicode MS"/>
          <w:noProof/>
          <w:szCs w:val="24"/>
          <w:bdr w:val="nil"/>
        </w:rPr>
        <w:t>pp</w:t>
      </w:r>
      <w:r w:rsidRPr="008275EC">
        <w:rPr>
          <w:rFonts w:eastAsia="Arial Unicode MS"/>
          <w:noProof/>
          <w:szCs w:val="24"/>
          <w:bdr w:val="nil"/>
        </w:rPr>
        <w:t>. 131 - 138.</w:t>
      </w:r>
    </w:p>
    <w:p w14:paraId="14E8E11E" w14:textId="4689310B"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lastRenderedPageBreak/>
        <w:t xml:space="preserve">Rengaraju, N., Sithambaram, S., &amp; Sankarkumar, A. V. (2020). Relationship Between Stock Return And Firms’ Financial Performance In Bse Listed Companies. European Journal of Molecular &amp; Clinical Medicine, 07(03), </w:t>
      </w:r>
      <w:r w:rsidR="00E36C0B" w:rsidRPr="003138A2">
        <w:rPr>
          <w:rFonts w:eastAsia="Arial Unicode MS"/>
          <w:noProof/>
          <w:szCs w:val="24"/>
          <w:bdr w:val="nil"/>
        </w:rPr>
        <w:t>pp</w:t>
      </w:r>
      <w:r w:rsidRPr="008275EC">
        <w:rPr>
          <w:rFonts w:eastAsia="Arial Unicode MS"/>
          <w:noProof/>
          <w:szCs w:val="24"/>
          <w:bdr w:val="nil"/>
        </w:rPr>
        <w:t>. 4553 - 4559.</w:t>
      </w:r>
    </w:p>
    <w:p w14:paraId="4510E82E" w14:textId="16C1F717"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 xml:space="preserve">Saleh, M. (2015). Relationship between Firm’s Financial Performance and Stock Returns: Evidence from Oil and Gas Sector Pakistan. Journal of Energy Technologies and Policy, </w:t>
      </w:r>
      <w:r w:rsidR="0084609F">
        <w:rPr>
          <w:rFonts w:eastAsia="Arial Unicode MS"/>
          <w:noProof/>
          <w:szCs w:val="24"/>
          <w:bdr w:val="nil"/>
        </w:rPr>
        <w:t>0</w:t>
      </w:r>
      <w:r w:rsidRPr="008275EC">
        <w:rPr>
          <w:rFonts w:eastAsia="Arial Unicode MS"/>
          <w:noProof/>
          <w:szCs w:val="24"/>
          <w:bdr w:val="nil"/>
        </w:rPr>
        <w:t xml:space="preserve">5(10), </w:t>
      </w:r>
      <w:r w:rsidR="00E36C0B" w:rsidRPr="003138A2">
        <w:rPr>
          <w:rFonts w:eastAsia="Arial Unicode MS"/>
          <w:noProof/>
          <w:szCs w:val="24"/>
          <w:bdr w:val="nil"/>
        </w:rPr>
        <w:t>pp</w:t>
      </w:r>
      <w:r w:rsidRPr="008275EC">
        <w:rPr>
          <w:rFonts w:eastAsia="Arial Unicode MS"/>
          <w:noProof/>
          <w:szCs w:val="24"/>
          <w:bdr w:val="nil"/>
        </w:rPr>
        <w:t>. 27 - 32.</w:t>
      </w:r>
    </w:p>
    <w:p w14:paraId="34A813F7" w14:textId="77777777" w:rsidR="008275EC" w:rsidRPr="008275EC" w:rsidRDefault="008275EC" w:rsidP="003138A2">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Stock, H. J., &amp; Watson, W. M. (2015). Introduction to Econometrics. Harlow, Essex, UK: Pearson Education Limited.</w:t>
      </w:r>
    </w:p>
    <w:p w14:paraId="621339BD" w14:textId="1C5F3C02" w:rsidR="008275EC" w:rsidRDefault="008275EC" w:rsidP="0084609F">
      <w:pPr>
        <w:pBdr>
          <w:top w:val="nil"/>
          <w:left w:val="nil"/>
          <w:bottom w:val="nil"/>
          <w:right w:val="nil"/>
          <w:between w:val="nil"/>
          <w:bar w:val="nil"/>
        </w:pBdr>
        <w:spacing w:before="200" w:after="200"/>
        <w:ind w:firstLine="0"/>
        <w:rPr>
          <w:rFonts w:eastAsia="Arial Unicode MS"/>
          <w:szCs w:val="24"/>
          <w:bdr w:val="nil"/>
        </w:rPr>
      </w:pPr>
    </w:p>
    <w:p w14:paraId="0C8DEBFA" w14:textId="77777777" w:rsidR="0084609F" w:rsidRPr="008275EC" w:rsidRDefault="0084609F" w:rsidP="0084609F">
      <w:pPr>
        <w:pBdr>
          <w:top w:val="nil"/>
          <w:left w:val="nil"/>
          <w:bottom w:val="nil"/>
          <w:right w:val="nil"/>
          <w:between w:val="nil"/>
          <w:bar w:val="nil"/>
        </w:pBdr>
        <w:spacing w:before="200" w:after="200"/>
        <w:ind w:firstLine="0"/>
        <w:rPr>
          <w:rFonts w:eastAsia="Arial Unicode MS"/>
          <w:szCs w:val="24"/>
          <w:bdr w:val="nil"/>
        </w:rPr>
      </w:pPr>
    </w:p>
    <w:p w14:paraId="169AE16D" w14:textId="77777777" w:rsidR="008275EC" w:rsidRPr="008275EC" w:rsidRDefault="008275EC" w:rsidP="0084609F">
      <w:pPr>
        <w:pBdr>
          <w:top w:val="nil"/>
          <w:left w:val="nil"/>
          <w:bottom w:val="nil"/>
          <w:right w:val="nil"/>
          <w:between w:val="nil"/>
          <w:bar w:val="nil"/>
        </w:pBdr>
        <w:spacing w:before="200" w:after="200" w:line="240" w:lineRule="auto"/>
        <w:ind w:left="720" w:hanging="720"/>
        <w:jc w:val="center"/>
        <w:rPr>
          <w:rFonts w:eastAsia="Arial Unicode MS"/>
          <w:b/>
          <w:bCs/>
          <w:noProof/>
          <w:szCs w:val="24"/>
          <w:bdr w:val="nil"/>
        </w:rPr>
      </w:pPr>
      <w:r w:rsidRPr="008275EC">
        <w:rPr>
          <w:rFonts w:eastAsia="Arial Unicode MS"/>
          <w:b/>
          <w:bCs/>
          <w:noProof/>
          <w:szCs w:val="24"/>
          <w:bdr w:val="nil"/>
          <w:lang w:val="el-GR"/>
        </w:rPr>
        <w:t>ΗΛΕΚΤΡΟΝΙΚΕΣ</w:t>
      </w:r>
      <w:r w:rsidRPr="008275EC">
        <w:rPr>
          <w:rFonts w:eastAsia="Arial Unicode MS"/>
          <w:b/>
          <w:bCs/>
          <w:noProof/>
          <w:szCs w:val="24"/>
          <w:bdr w:val="nil"/>
        </w:rPr>
        <w:t xml:space="preserve"> </w:t>
      </w:r>
      <w:r w:rsidRPr="008275EC">
        <w:rPr>
          <w:rFonts w:eastAsia="Arial Unicode MS"/>
          <w:b/>
          <w:bCs/>
          <w:noProof/>
          <w:szCs w:val="24"/>
          <w:bdr w:val="nil"/>
          <w:lang w:val="el-GR"/>
        </w:rPr>
        <w:t>ΠΗΓΕΣ</w:t>
      </w:r>
    </w:p>
    <w:p w14:paraId="4EC6DD4D" w14:textId="77777777" w:rsidR="008275EC" w:rsidRPr="008D791C" w:rsidRDefault="008275EC" w:rsidP="0084609F">
      <w:pPr>
        <w:pBdr>
          <w:top w:val="nil"/>
          <w:left w:val="nil"/>
          <w:bottom w:val="nil"/>
          <w:right w:val="nil"/>
          <w:between w:val="nil"/>
          <w:bar w:val="nil"/>
        </w:pBdr>
        <w:spacing w:after="120" w:line="240" w:lineRule="auto"/>
        <w:ind w:left="720" w:hanging="720"/>
        <w:rPr>
          <w:rFonts w:eastAsia="Arial Unicode MS"/>
          <w:noProof/>
          <w:szCs w:val="24"/>
          <w:bdr w:val="nil"/>
          <w:lang w:val="el-GR"/>
        </w:rPr>
      </w:pPr>
      <w:r w:rsidRPr="008275EC">
        <w:rPr>
          <w:rFonts w:eastAsia="Arial Unicode MS"/>
          <w:noProof/>
          <w:szCs w:val="24"/>
          <w:bdr w:val="nil"/>
        </w:rPr>
        <w:t xml:space="preserve">Anderson, S. (2021). Financial Institution (FI). </w:t>
      </w:r>
      <w:r w:rsidRPr="008275EC">
        <w:rPr>
          <w:rFonts w:eastAsia="Arial Unicode MS"/>
          <w:noProof/>
          <w:szCs w:val="24"/>
          <w:bdr w:val="nil"/>
          <w:lang w:val="el-GR"/>
        </w:rPr>
        <w:t>Ανάκτηση</w:t>
      </w:r>
      <w:r w:rsidRPr="008D791C">
        <w:rPr>
          <w:rFonts w:eastAsia="Arial Unicode MS"/>
          <w:noProof/>
          <w:szCs w:val="24"/>
          <w:bdr w:val="nil"/>
          <w:lang w:val="el-GR"/>
        </w:rPr>
        <w:t xml:space="preserve"> </w:t>
      </w:r>
      <w:r w:rsidRPr="008275EC">
        <w:rPr>
          <w:rFonts w:eastAsia="Arial Unicode MS"/>
          <w:noProof/>
          <w:szCs w:val="24"/>
          <w:bdr w:val="nil"/>
          <w:lang w:val="el-GR"/>
        </w:rPr>
        <w:t>από</w:t>
      </w:r>
      <w:r w:rsidRPr="008D791C">
        <w:rPr>
          <w:rFonts w:eastAsia="Arial Unicode MS"/>
          <w:noProof/>
          <w:szCs w:val="24"/>
          <w:bdr w:val="nil"/>
          <w:lang w:val="el-GR"/>
        </w:rPr>
        <w:t xml:space="preserve"> </w:t>
      </w:r>
      <w:r w:rsidRPr="008275EC">
        <w:rPr>
          <w:rFonts w:eastAsia="Arial Unicode MS"/>
          <w:noProof/>
          <w:szCs w:val="24"/>
          <w:bdr w:val="nil"/>
        </w:rPr>
        <w:t>Investopedia</w:t>
      </w:r>
      <w:r w:rsidRPr="008D791C">
        <w:rPr>
          <w:rFonts w:eastAsia="Arial Unicode MS"/>
          <w:noProof/>
          <w:szCs w:val="24"/>
          <w:bdr w:val="nil"/>
          <w:lang w:val="el-GR"/>
        </w:rPr>
        <w:t xml:space="preserve">: </w:t>
      </w:r>
      <w:r w:rsidRPr="008275EC">
        <w:rPr>
          <w:rFonts w:eastAsia="Arial Unicode MS"/>
          <w:noProof/>
          <w:szCs w:val="24"/>
          <w:bdr w:val="nil"/>
        </w:rPr>
        <w:t>https</w:t>
      </w:r>
      <w:r w:rsidRPr="008D791C">
        <w:rPr>
          <w:rFonts w:eastAsia="Arial Unicode MS"/>
          <w:noProof/>
          <w:szCs w:val="24"/>
          <w:bdr w:val="nil"/>
          <w:lang w:val="el-GR"/>
        </w:rPr>
        <w:t>://</w:t>
      </w:r>
      <w:r w:rsidRPr="008275EC">
        <w:rPr>
          <w:rFonts w:eastAsia="Arial Unicode MS"/>
          <w:noProof/>
          <w:szCs w:val="24"/>
          <w:bdr w:val="nil"/>
        </w:rPr>
        <w:t>www</w:t>
      </w:r>
      <w:r w:rsidRPr="008D791C">
        <w:rPr>
          <w:rFonts w:eastAsia="Arial Unicode MS"/>
          <w:noProof/>
          <w:szCs w:val="24"/>
          <w:bdr w:val="nil"/>
          <w:lang w:val="el-GR"/>
        </w:rPr>
        <w:t>.</w:t>
      </w:r>
      <w:r w:rsidRPr="008275EC">
        <w:rPr>
          <w:rFonts w:eastAsia="Arial Unicode MS"/>
          <w:noProof/>
          <w:szCs w:val="24"/>
          <w:bdr w:val="nil"/>
        </w:rPr>
        <w:t>investopedia</w:t>
      </w:r>
      <w:r w:rsidRPr="008D791C">
        <w:rPr>
          <w:rFonts w:eastAsia="Arial Unicode MS"/>
          <w:noProof/>
          <w:szCs w:val="24"/>
          <w:bdr w:val="nil"/>
          <w:lang w:val="el-GR"/>
        </w:rPr>
        <w:t>.</w:t>
      </w:r>
      <w:r w:rsidRPr="008275EC">
        <w:rPr>
          <w:rFonts w:eastAsia="Arial Unicode MS"/>
          <w:noProof/>
          <w:szCs w:val="24"/>
          <w:bdr w:val="nil"/>
        </w:rPr>
        <w:t>com</w:t>
      </w:r>
      <w:r w:rsidRPr="008D791C">
        <w:rPr>
          <w:rFonts w:eastAsia="Arial Unicode MS"/>
          <w:noProof/>
          <w:szCs w:val="24"/>
          <w:bdr w:val="nil"/>
          <w:lang w:val="el-GR"/>
        </w:rPr>
        <w:t>/</w:t>
      </w:r>
      <w:r w:rsidRPr="008275EC">
        <w:rPr>
          <w:rFonts w:eastAsia="Arial Unicode MS"/>
          <w:noProof/>
          <w:szCs w:val="24"/>
          <w:bdr w:val="nil"/>
        </w:rPr>
        <w:t>terms</w:t>
      </w:r>
      <w:r w:rsidRPr="008D791C">
        <w:rPr>
          <w:rFonts w:eastAsia="Arial Unicode MS"/>
          <w:noProof/>
          <w:szCs w:val="24"/>
          <w:bdr w:val="nil"/>
          <w:lang w:val="el-GR"/>
        </w:rPr>
        <w:t>/</w:t>
      </w:r>
      <w:r w:rsidRPr="008275EC">
        <w:rPr>
          <w:rFonts w:eastAsia="Arial Unicode MS"/>
          <w:noProof/>
          <w:szCs w:val="24"/>
          <w:bdr w:val="nil"/>
        </w:rPr>
        <w:t>f</w:t>
      </w:r>
      <w:r w:rsidRPr="008D791C">
        <w:rPr>
          <w:rFonts w:eastAsia="Arial Unicode MS"/>
          <w:noProof/>
          <w:szCs w:val="24"/>
          <w:bdr w:val="nil"/>
          <w:lang w:val="el-GR"/>
        </w:rPr>
        <w:t>/</w:t>
      </w:r>
      <w:r w:rsidRPr="008275EC">
        <w:rPr>
          <w:rFonts w:eastAsia="Arial Unicode MS"/>
          <w:noProof/>
          <w:szCs w:val="24"/>
          <w:bdr w:val="nil"/>
        </w:rPr>
        <w:t>financialinstitution</w:t>
      </w:r>
      <w:r w:rsidRPr="008D791C">
        <w:rPr>
          <w:rFonts w:eastAsia="Arial Unicode MS"/>
          <w:noProof/>
          <w:szCs w:val="24"/>
          <w:bdr w:val="nil"/>
          <w:lang w:val="el-GR"/>
        </w:rPr>
        <w:t>.</w:t>
      </w:r>
      <w:r w:rsidRPr="008275EC">
        <w:rPr>
          <w:rFonts w:eastAsia="Arial Unicode MS"/>
          <w:noProof/>
          <w:szCs w:val="24"/>
          <w:bdr w:val="nil"/>
        </w:rPr>
        <w:t>asp</w:t>
      </w:r>
      <w:r w:rsidRPr="008D791C">
        <w:rPr>
          <w:rFonts w:eastAsia="Arial Unicode MS"/>
          <w:noProof/>
          <w:szCs w:val="24"/>
          <w:bdr w:val="nil"/>
          <w:lang w:val="el-GR"/>
        </w:rPr>
        <w:t xml:space="preserve"> [</w:t>
      </w:r>
      <w:r w:rsidRPr="008275EC">
        <w:rPr>
          <w:rFonts w:eastAsia="Arial Unicode MS"/>
          <w:noProof/>
          <w:szCs w:val="24"/>
          <w:bdr w:val="nil"/>
          <w:lang w:val="el-GR"/>
        </w:rPr>
        <w:t>Πρόσβαση</w:t>
      </w:r>
      <w:r w:rsidRPr="008D791C">
        <w:rPr>
          <w:rFonts w:eastAsia="Arial Unicode MS"/>
          <w:noProof/>
          <w:szCs w:val="24"/>
          <w:bdr w:val="nil"/>
          <w:lang w:val="el-GR"/>
        </w:rPr>
        <w:t xml:space="preserve"> 15 </w:t>
      </w:r>
      <w:r w:rsidRPr="008275EC">
        <w:rPr>
          <w:rFonts w:eastAsia="Arial Unicode MS"/>
          <w:noProof/>
          <w:szCs w:val="24"/>
          <w:bdr w:val="nil"/>
          <w:lang w:val="el-GR"/>
        </w:rPr>
        <w:t>Οκτωβρίου</w:t>
      </w:r>
      <w:r w:rsidRPr="008D791C">
        <w:rPr>
          <w:rFonts w:eastAsia="Arial Unicode MS"/>
          <w:noProof/>
          <w:szCs w:val="24"/>
          <w:bdr w:val="nil"/>
          <w:lang w:val="el-GR"/>
        </w:rPr>
        <w:t xml:space="preserve"> 2021]</w:t>
      </w:r>
    </w:p>
    <w:p w14:paraId="3E24B07C" w14:textId="1C650A16" w:rsidR="008275EC" w:rsidRPr="008275EC" w:rsidRDefault="008275EC" w:rsidP="0084609F">
      <w:pPr>
        <w:pBdr>
          <w:top w:val="nil"/>
          <w:left w:val="nil"/>
          <w:bottom w:val="nil"/>
          <w:right w:val="nil"/>
          <w:between w:val="nil"/>
          <w:bar w:val="nil"/>
        </w:pBdr>
        <w:spacing w:after="120" w:line="240" w:lineRule="auto"/>
        <w:ind w:left="720" w:hanging="720"/>
        <w:rPr>
          <w:rFonts w:eastAsia="Arial Unicode MS"/>
          <w:noProof/>
          <w:szCs w:val="24"/>
          <w:bdr w:val="nil"/>
          <w:lang w:val="el-GR"/>
        </w:rPr>
      </w:pPr>
      <w:r w:rsidRPr="008275EC">
        <w:rPr>
          <w:rFonts w:eastAsia="Arial Unicode MS"/>
          <w:noProof/>
          <w:szCs w:val="24"/>
          <w:bdr w:val="nil"/>
        </w:rPr>
        <w:t>capital</w:t>
      </w:r>
      <w:r w:rsidRPr="008275EC">
        <w:rPr>
          <w:rFonts w:eastAsia="Arial Unicode MS"/>
          <w:noProof/>
          <w:szCs w:val="24"/>
          <w:bdr w:val="nil"/>
          <w:lang w:val="el-GR"/>
        </w:rPr>
        <w:t>.</w:t>
      </w:r>
      <w:r w:rsidRPr="008275EC">
        <w:rPr>
          <w:rFonts w:eastAsia="Arial Unicode MS"/>
          <w:noProof/>
          <w:szCs w:val="24"/>
          <w:bdr w:val="nil"/>
        </w:rPr>
        <w:t>gr</w:t>
      </w:r>
      <w:r w:rsidRPr="008275EC">
        <w:rPr>
          <w:rFonts w:eastAsia="Arial Unicode MS"/>
          <w:noProof/>
          <w:szCs w:val="24"/>
          <w:bdr w:val="nil"/>
          <w:lang w:val="el-GR"/>
        </w:rPr>
        <w:t xml:space="preserve">. (2021). </w:t>
      </w:r>
      <w:bookmarkStart w:id="116" w:name="_Hlk88465693"/>
      <w:r w:rsidR="0084609F" w:rsidRPr="008275EC">
        <w:rPr>
          <w:rFonts w:eastAsia="Arial Unicode MS"/>
          <w:noProof/>
          <w:szCs w:val="24"/>
          <w:bdr w:val="nil"/>
          <w:lang w:val="el-GR"/>
        </w:rPr>
        <w:t>Alpha Υπηρεσι</w:t>
      </w:r>
      <w:r w:rsidR="0084609F">
        <w:rPr>
          <w:rFonts w:eastAsia="Arial Unicode MS"/>
          <w:noProof/>
          <w:szCs w:val="24"/>
          <w:bdr w:val="nil"/>
          <w:lang w:val="el-GR"/>
        </w:rPr>
        <w:t>ώ</w:t>
      </w:r>
      <w:r w:rsidR="0084609F" w:rsidRPr="008275EC">
        <w:rPr>
          <w:rFonts w:eastAsia="Arial Unicode MS"/>
          <w:noProof/>
          <w:szCs w:val="24"/>
          <w:bdr w:val="nil"/>
          <w:lang w:val="el-GR"/>
        </w:rPr>
        <w:t xml:space="preserve">ν </w:t>
      </w:r>
      <w:r w:rsidR="0084609F">
        <w:rPr>
          <w:rFonts w:eastAsia="Arial Unicode MS"/>
          <w:noProof/>
          <w:szCs w:val="24"/>
          <w:bdr w:val="nil"/>
          <w:lang w:val="el-GR"/>
        </w:rPr>
        <w:t>κ</w:t>
      </w:r>
      <w:r w:rsidR="0084609F" w:rsidRPr="008275EC">
        <w:rPr>
          <w:rFonts w:eastAsia="Arial Unicode MS"/>
          <w:noProof/>
          <w:szCs w:val="24"/>
          <w:bdr w:val="nil"/>
          <w:lang w:val="el-GR"/>
        </w:rPr>
        <w:t>αι Συμμετοχων</w:t>
      </w:r>
      <w:r w:rsidRPr="008275EC">
        <w:rPr>
          <w:rFonts w:eastAsia="Arial Unicode MS"/>
          <w:noProof/>
          <w:szCs w:val="24"/>
          <w:bdr w:val="nil"/>
          <w:lang w:val="el-GR"/>
        </w:rPr>
        <w:t xml:space="preserve"> </w:t>
      </w:r>
      <w:bookmarkEnd w:id="116"/>
      <w:r w:rsidRPr="008275EC">
        <w:rPr>
          <w:rFonts w:eastAsia="Arial Unicode MS"/>
          <w:noProof/>
          <w:szCs w:val="24"/>
          <w:bdr w:val="nil"/>
          <w:lang w:val="el-GR"/>
        </w:rPr>
        <w:t>Α.Ε (ΑΛΦΑ). Ανάκτηση από capital.gr: https://www.capital.gr/finance/chart/history/%ce%91%ce%9b%ce%a6%ce%91?symbols=%CE%91%CE%9B%CE%A6%CE%91&amp;type=history&amp;interval=all [Πρόσβαση 08 Οκτωβρίου 2021]</w:t>
      </w:r>
    </w:p>
    <w:p w14:paraId="209352E6" w14:textId="2E5988A2" w:rsidR="008275EC" w:rsidRPr="008275EC" w:rsidRDefault="008275EC" w:rsidP="0084609F">
      <w:pPr>
        <w:pBdr>
          <w:top w:val="nil"/>
          <w:left w:val="nil"/>
          <w:bottom w:val="nil"/>
          <w:right w:val="nil"/>
          <w:between w:val="nil"/>
          <w:bar w:val="nil"/>
        </w:pBdr>
        <w:spacing w:after="120" w:line="240" w:lineRule="auto"/>
        <w:ind w:left="720" w:hanging="720"/>
        <w:rPr>
          <w:rFonts w:eastAsia="Arial Unicode MS"/>
          <w:noProof/>
          <w:szCs w:val="24"/>
          <w:bdr w:val="nil"/>
          <w:lang w:val="el-GR"/>
        </w:rPr>
      </w:pPr>
      <w:r w:rsidRPr="008275EC">
        <w:rPr>
          <w:rFonts w:eastAsia="Arial Unicode MS"/>
          <w:noProof/>
          <w:szCs w:val="24"/>
          <w:bdr w:val="nil"/>
          <w:lang w:val="el-GR"/>
        </w:rPr>
        <w:t xml:space="preserve">capital.gr. (2021). </w:t>
      </w:r>
      <w:r w:rsidR="0084609F" w:rsidRPr="008275EC">
        <w:rPr>
          <w:rFonts w:eastAsia="Arial Unicode MS"/>
          <w:noProof/>
          <w:szCs w:val="24"/>
          <w:bdr w:val="nil"/>
          <w:lang w:val="el-GR"/>
        </w:rPr>
        <w:t>Eurobank Ergasias Υπηρεσι</w:t>
      </w:r>
      <w:r w:rsidR="0084609F">
        <w:rPr>
          <w:rFonts w:eastAsia="Arial Unicode MS"/>
          <w:noProof/>
          <w:szCs w:val="24"/>
          <w:bdr w:val="nil"/>
          <w:lang w:val="el-GR"/>
        </w:rPr>
        <w:t>ώ</w:t>
      </w:r>
      <w:r w:rsidR="0084609F" w:rsidRPr="008275EC">
        <w:rPr>
          <w:rFonts w:eastAsia="Arial Unicode MS"/>
          <w:noProof/>
          <w:szCs w:val="24"/>
          <w:bdr w:val="nil"/>
          <w:lang w:val="el-GR"/>
        </w:rPr>
        <w:t xml:space="preserve">ν </w:t>
      </w:r>
      <w:r w:rsidR="0084609F">
        <w:rPr>
          <w:rFonts w:eastAsia="Arial Unicode MS"/>
          <w:noProof/>
          <w:szCs w:val="24"/>
          <w:bdr w:val="nil"/>
          <w:lang w:val="el-GR"/>
        </w:rPr>
        <w:t>κ</w:t>
      </w:r>
      <w:r w:rsidR="0084609F" w:rsidRPr="008275EC">
        <w:rPr>
          <w:rFonts w:eastAsia="Arial Unicode MS"/>
          <w:noProof/>
          <w:szCs w:val="24"/>
          <w:bdr w:val="nil"/>
          <w:lang w:val="el-GR"/>
        </w:rPr>
        <w:t>αι Συμ</w:t>
      </w:r>
      <w:r w:rsidR="0084609F">
        <w:rPr>
          <w:rFonts w:eastAsia="Arial Unicode MS"/>
          <w:noProof/>
          <w:szCs w:val="24"/>
          <w:bdr w:val="nil"/>
          <w:lang w:val="el-GR"/>
        </w:rPr>
        <w:t>.</w:t>
      </w:r>
      <w:r w:rsidRPr="008275EC">
        <w:rPr>
          <w:rFonts w:eastAsia="Arial Unicode MS"/>
          <w:noProof/>
          <w:szCs w:val="24"/>
          <w:bdr w:val="nil"/>
          <w:lang w:val="el-GR"/>
        </w:rPr>
        <w:t xml:space="preserve"> Α.Ε. (ΕΥΡΩΒ). Ανάκτηση από capital.gr: https://www.capital.gr/finance/chart/history/%ce%95%ce%a5%ce%a1%ce%a9%ce%92?symbols=%CE%95%CE%A5%CE%A1%CE%A9%CE%92&amp;type=history&amp;interval=all [Πρόσβαση 08 Οκτωβρίου 2021]</w:t>
      </w:r>
    </w:p>
    <w:p w14:paraId="4EE010D4" w14:textId="52A8F784" w:rsidR="008275EC" w:rsidRPr="008275EC" w:rsidRDefault="008275EC" w:rsidP="0084609F">
      <w:pPr>
        <w:pBdr>
          <w:top w:val="nil"/>
          <w:left w:val="nil"/>
          <w:bottom w:val="nil"/>
          <w:right w:val="nil"/>
          <w:between w:val="nil"/>
          <w:bar w:val="nil"/>
        </w:pBdr>
        <w:spacing w:after="120" w:line="240" w:lineRule="auto"/>
        <w:ind w:left="720" w:hanging="720"/>
        <w:rPr>
          <w:rFonts w:eastAsia="Arial Unicode MS"/>
          <w:noProof/>
          <w:szCs w:val="24"/>
          <w:bdr w:val="nil"/>
          <w:lang w:val="el-GR"/>
        </w:rPr>
      </w:pPr>
      <w:r w:rsidRPr="008275EC">
        <w:rPr>
          <w:rFonts w:eastAsia="Arial Unicode MS"/>
          <w:noProof/>
          <w:szCs w:val="24"/>
          <w:bdr w:val="nil"/>
          <w:lang w:val="el-GR"/>
        </w:rPr>
        <w:t xml:space="preserve">capital.gr. (2021). </w:t>
      </w:r>
      <w:r w:rsidR="0084609F" w:rsidRPr="008275EC">
        <w:rPr>
          <w:rFonts w:eastAsia="Arial Unicode MS"/>
          <w:noProof/>
          <w:szCs w:val="24"/>
          <w:bdr w:val="nil"/>
          <w:lang w:val="el-GR"/>
        </w:rPr>
        <w:t>Εθνικ</w:t>
      </w:r>
      <w:r w:rsidR="0084609F">
        <w:rPr>
          <w:rFonts w:eastAsia="Arial Unicode MS"/>
          <w:noProof/>
          <w:szCs w:val="24"/>
          <w:bdr w:val="nil"/>
          <w:lang w:val="el-GR"/>
        </w:rPr>
        <w:t>ή</w:t>
      </w:r>
      <w:r w:rsidR="0084609F" w:rsidRPr="008275EC">
        <w:rPr>
          <w:rFonts w:eastAsia="Arial Unicode MS"/>
          <w:noProof/>
          <w:szCs w:val="24"/>
          <w:bdr w:val="nil"/>
          <w:lang w:val="el-GR"/>
        </w:rPr>
        <w:t xml:space="preserve"> Τρ</w:t>
      </w:r>
      <w:r w:rsidR="0084609F">
        <w:rPr>
          <w:rFonts w:eastAsia="Arial Unicode MS"/>
          <w:noProof/>
          <w:szCs w:val="24"/>
          <w:bdr w:val="nil"/>
          <w:lang w:val="el-GR"/>
        </w:rPr>
        <w:t>ά</w:t>
      </w:r>
      <w:r w:rsidR="0084609F" w:rsidRPr="008275EC">
        <w:rPr>
          <w:rFonts w:eastAsia="Arial Unicode MS"/>
          <w:noProof/>
          <w:szCs w:val="24"/>
          <w:bdr w:val="nil"/>
          <w:lang w:val="el-GR"/>
        </w:rPr>
        <w:t xml:space="preserve">πεζα </w:t>
      </w:r>
      <w:r w:rsidR="0084609F">
        <w:rPr>
          <w:rFonts w:eastAsia="Arial Unicode MS"/>
          <w:noProof/>
          <w:szCs w:val="24"/>
          <w:bdr w:val="nil"/>
          <w:lang w:val="el-GR"/>
        </w:rPr>
        <w:t>τ</w:t>
      </w:r>
      <w:r w:rsidR="0084609F" w:rsidRPr="008275EC">
        <w:rPr>
          <w:rFonts w:eastAsia="Arial Unicode MS"/>
          <w:noProof/>
          <w:szCs w:val="24"/>
          <w:bdr w:val="nil"/>
          <w:lang w:val="el-GR"/>
        </w:rPr>
        <w:t>ης Ελλ</w:t>
      </w:r>
      <w:r w:rsidR="0084609F">
        <w:rPr>
          <w:rFonts w:eastAsia="Arial Unicode MS"/>
          <w:noProof/>
          <w:szCs w:val="24"/>
          <w:bdr w:val="nil"/>
          <w:lang w:val="el-GR"/>
        </w:rPr>
        <w:t>ά</w:t>
      </w:r>
      <w:r w:rsidR="0084609F" w:rsidRPr="008275EC">
        <w:rPr>
          <w:rFonts w:eastAsia="Arial Unicode MS"/>
          <w:noProof/>
          <w:szCs w:val="24"/>
          <w:bdr w:val="nil"/>
          <w:lang w:val="el-GR"/>
        </w:rPr>
        <w:t>δος</w:t>
      </w:r>
      <w:r w:rsidRPr="008275EC">
        <w:rPr>
          <w:rFonts w:eastAsia="Arial Unicode MS"/>
          <w:noProof/>
          <w:szCs w:val="24"/>
          <w:bdr w:val="nil"/>
          <w:lang w:val="el-GR"/>
        </w:rPr>
        <w:t xml:space="preserve"> (ΕΤΕ). Ανάκτηση από capital.gr: https://www.capital.gr/finance/chart/history/%ce%95%ce%a4%ce%95?symbols=%CE%95%CE%A4%CE%95&amp;type=history&amp;interval=all [Πρόσβαση 08 Οκτωβρίου 2021]</w:t>
      </w:r>
    </w:p>
    <w:p w14:paraId="04F2759A" w14:textId="018CE538" w:rsidR="008275EC" w:rsidRPr="008275EC" w:rsidRDefault="008275EC" w:rsidP="0084609F">
      <w:pPr>
        <w:pBdr>
          <w:top w:val="nil"/>
          <w:left w:val="nil"/>
          <w:bottom w:val="nil"/>
          <w:right w:val="nil"/>
          <w:between w:val="nil"/>
          <w:bar w:val="nil"/>
        </w:pBdr>
        <w:spacing w:after="120" w:line="240" w:lineRule="auto"/>
        <w:ind w:left="720" w:hanging="720"/>
        <w:rPr>
          <w:rFonts w:eastAsia="Arial Unicode MS"/>
          <w:noProof/>
          <w:szCs w:val="24"/>
          <w:bdr w:val="nil"/>
          <w:lang w:val="el-GR"/>
        </w:rPr>
      </w:pPr>
      <w:r w:rsidRPr="008275EC">
        <w:rPr>
          <w:rFonts w:eastAsia="Arial Unicode MS"/>
          <w:noProof/>
          <w:szCs w:val="24"/>
          <w:bdr w:val="nil"/>
        </w:rPr>
        <w:t xml:space="preserve">capital.gr. (2021). </w:t>
      </w:r>
      <w:bookmarkStart w:id="117" w:name="_Hlk88465712"/>
      <w:r w:rsidR="0084609F" w:rsidRPr="008275EC">
        <w:rPr>
          <w:rFonts w:eastAsia="Arial Unicode MS"/>
          <w:noProof/>
          <w:szCs w:val="24"/>
          <w:bdr w:val="nil"/>
          <w:lang w:val="el-GR"/>
        </w:rPr>
        <w:t>Πειραι</w:t>
      </w:r>
      <w:r w:rsidR="0084609F">
        <w:rPr>
          <w:rFonts w:eastAsia="Arial Unicode MS"/>
          <w:noProof/>
          <w:szCs w:val="24"/>
          <w:bdr w:val="nil"/>
          <w:lang w:val="el-GR"/>
        </w:rPr>
        <w:t>ώ</w:t>
      </w:r>
      <w:r w:rsidR="0084609F" w:rsidRPr="008275EC">
        <w:rPr>
          <w:rFonts w:eastAsia="Arial Unicode MS"/>
          <w:noProof/>
          <w:szCs w:val="24"/>
          <w:bdr w:val="nil"/>
          <w:lang w:val="el-GR"/>
        </w:rPr>
        <w:t>ς</w:t>
      </w:r>
      <w:r w:rsidR="0084609F" w:rsidRPr="008275EC">
        <w:rPr>
          <w:rFonts w:eastAsia="Arial Unicode MS"/>
          <w:noProof/>
          <w:szCs w:val="24"/>
          <w:bdr w:val="nil"/>
        </w:rPr>
        <w:t xml:space="preserve"> Financial Holdings</w:t>
      </w:r>
      <w:bookmarkEnd w:id="117"/>
      <w:r w:rsidRPr="008275EC">
        <w:rPr>
          <w:rFonts w:eastAsia="Arial Unicode MS"/>
          <w:noProof/>
          <w:szCs w:val="24"/>
          <w:bdr w:val="nil"/>
        </w:rPr>
        <w:t xml:space="preserve"> </w:t>
      </w:r>
      <w:r w:rsidRPr="008275EC">
        <w:rPr>
          <w:rFonts w:eastAsia="Arial Unicode MS"/>
          <w:noProof/>
          <w:szCs w:val="24"/>
          <w:bdr w:val="nil"/>
          <w:lang w:val="el-GR"/>
        </w:rPr>
        <w:t>Α</w:t>
      </w:r>
      <w:r w:rsidRPr="008275EC">
        <w:rPr>
          <w:rFonts w:eastAsia="Arial Unicode MS"/>
          <w:noProof/>
          <w:szCs w:val="24"/>
          <w:bdr w:val="nil"/>
        </w:rPr>
        <w:t>.</w:t>
      </w:r>
      <w:r w:rsidRPr="008275EC">
        <w:rPr>
          <w:rFonts w:eastAsia="Arial Unicode MS"/>
          <w:noProof/>
          <w:szCs w:val="24"/>
          <w:bdr w:val="nil"/>
          <w:lang w:val="el-GR"/>
        </w:rPr>
        <w:t>Ε</w:t>
      </w:r>
      <w:r w:rsidRPr="008275EC">
        <w:rPr>
          <w:rFonts w:eastAsia="Arial Unicode MS"/>
          <w:noProof/>
          <w:szCs w:val="24"/>
          <w:bdr w:val="nil"/>
        </w:rPr>
        <w:t>. (</w:t>
      </w:r>
      <w:r w:rsidRPr="008275EC">
        <w:rPr>
          <w:rFonts w:eastAsia="Arial Unicode MS"/>
          <w:noProof/>
          <w:szCs w:val="24"/>
          <w:bdr w:val="nil"/>
          <w:lang w:val="el-GR"/>
        </w:rPr>
        <w:t>ΠΕΙΡ</w:t>
      </w:r>
      <w:r w:rsidRPr="008275EC">
        <w:rPr>
          <w:rFonts w:eastAsia="Arial Unicode MS"/>
          <w:noProof/>
          <w:szCs w:val="24"/>
          <w:bdr w:val="nil"/>
        </w:rPr>
        <w:t xml:space="preserve">). </w:t>
      </w:r>
      <w:r w:rsidRPr="008275EC">
        <w:rPr>
          <w:rFonts w:eastAsia="Arial Unicode MS"/>
          <w:noProof/>
          <w:szCs w:val="24"/>
          <w:bdr w:val="nil"/>
          <w:lang w:val="el-GR"/>
        </w:rPr>
        <w:t>Ανάκτηση από capital.gr: https://www.capital.gr/finance/chart/history/%ce%a0%ce%95%ce%99%ce%a1?symbols=%CE%A0%CE%95%CE%99%CE%A1&amp;type=history&amp;interval=all [Πρόσβαση 08 Οκτωβρίου 2021]</w:t>
      </w:r>
    </w:p>
    <w:p w14:paraId="64964D97" w14:textId="77777777" w:rsidR="008275EC" w:rsidRPr="008275EC" w:rsidRDefault="008275EC" w:rsidP="0084609F">
      <w:pPr>
        <w:pBdr>
          <w:top w:val="nil"/>
          <w:left w:val="nil"/>
          <w:bottom w:val="nil"/>
          <w:right w:val="nil"/>
          <w:between w:val="nil"/>
          <w:bar w:val="nil"/>
        </w:pBdr>
        <w:spacing w:after="120" w:line="240" w:lineRule="auto"/>
        <w:ind w:left="720" w:hanging="720"/>
        <w:rPr>
          <w:rFonts w:eastAsia="Arial Unicode MS"/>
          <w:noProof/>
          <w:szCs w:val="24"/>
          <w:bdr w:val="nil"/>
        </w:rPr>
      </w:pPr>
      <w:r w:rsidRPr="008275EC">
        <w:rPr>
          <w:rFonts w:eastAsia="Arial Unicode MS"/>
          <w:noProof/>
          <w:szCs w:val="24"/>
          <w:bdr w:val="nil"/>
        </w:rPr>
        <w:t xml:space="preserve">Gordon, S. (2021). Stock Market. </w:t>
      </w:r>
      <w:r w:rsidRPr="008275EC">
        <w:rPr>
          <w:rFonts w:eastAsia="Arial Unicode MS"/>
          <w:noProof/>
          <w:szCs w:val="24"/>
          <w:bdr w:val="nil"/>
          <w:lang w:val="el-GR"/>
        </w:rPr>
        <w:t>Ανάκτηση</w:t>
      </w:r>
      <w:r w:rsidRPr="008275EC">
        <w:rPr>
          <w:rFonts w:eastAsia="Arial Unicode MS"/>
          <w:noProof/>
          <w:szCs w:val="24"/>
          <w:bdr w:val="nil"/>
        </w:rPr>
        <w:t xml:space="preserve"> </w:t>
      </w:r>
      <w:r w:rsidRPr="008275EC">
        <w:rPr>
          <w:rFonts w:eastAsia="Arial Unicode MS"/>
          <w:noProof/>
          <w:szCs w:val="24"/>
          <w:bdr w:val="nil"/>
          <w:lang w:val="el-GR"/>
        </w:rPr>
        <w:t>από</w:t>
      </w:r>
      <w:r w:rsidRPr="008275EC">
        <w:rPr>
          <w:rFonts w:eastAsia="Arial Unicode MS"/>
          <w:noProof/>
          <w:szCs w:val="24"/>
          <w:bdr w:val="nil"/>
        </w:rPr>
        <w:t xml:space="preserve"> Investopedia: https://www.investopedia.com/terms/s/stockmarket.asp [</w:t>
      </w:r>
      <w:r w:rsidRPr="008275EC">
        <w:rPr>
          <w:rFonts w:eastAsia="Arial Unicode MS"/>
          <w:noProof/>
          <w:szCs w:val="24"/>
          <w:bdr w:val="nil"/>
          <w:lang w:val="el-GR"/>
        </w:rPr>
        <w:t>Πρόσβαση</w:t>
      </w:r>
      <w:r w:rsidRPr="008275EC">
        <w:rPr>
          <w:rFonts w:eastAsia="Arial Unicode MS"/>
          <w:noProof/>
          <w:szCs w:val="24"/>
          <w:bdr w:val="nil"/>
        </w:rPr>
        <w:t xml:space="preserve"> 15 </w:t>
      </w:r>
      <w:r w:rsidRPr="008275EC">
        <w:rPr>
          <w:rFonts w:eastAsia="Arial Unicode MS"/>
          <w:noProof/>
          <w:szCs w:val="24"/>
          <w:bdr w:val="nil"/>
          <w:lang w:val="el-GR"/>
        </w:rPr>
        <w:t>Οκτωβρίου</w:t>
      </w:r>
      <w:r w:rsidRPr="008275EC">
        <w:rPr>
          <w:rFonts w:eastAsia="Arial Unicode MS"/>
          <w:noProof/>
          <w:szCs w:val="24"/>
          <w:bdr w:val="nil"/>
        </w:rPr>
        <w:t xml:space="preserve"> 2021]</w:t>
      </w:r>
    </w:p>
    <w:p w14:paraId="752B7FFB" w14:textId="173F622A" w:rsidR="008275EC" w:rsidRPr="008275EC" w:rsidRDefault="008275EC" w:rsidP="0084609F">
      <w:pPr>
        <w:pBdr>
          <w:top w:val="nil"/>
          <w:left w:val="nil"/>
          <w:bottom w:val="nil"/>
          <w:right w:val="nil"/>
          <w:between w:val="nil"/>
          <w:bar w:val="nil"/>
        </w:pBdr>
        <w:spacing w:after="120" w:line="240" w:lineRule="auto"/>
        <w:ind w:left="720" w:hanging="720"/>
        <w:rPr>
          <w:rFonts w:eastAsia="Arial Unicode MS"/>
          <w:noProof/>
          <w:szCs w:val="24"/>
          <w:bdr w:val="nil"/>
          <w:lang w:val="el-GR"/>
        </w:rPr>
      </w:pPr>
      <w:r w:rsidRPr="008275EC">
        <w:rPr>
          <w:rFonts w:eastAsia="Arial Unicode MS"/>
          <w:noProof/>
          <w:szCs w:val="24"/>
          <w:bdr w:val="nil"/>
        </w:rPr>
        <w:t>Liberal</w:t>
      </w:r>
      <w:r w:rsidRPr="008275EC">
        <w:rPr>
          <w:rFonts w:eastAsia="Arial Unicode MS"/>
          <w:noProof/>
          <w:szCs w:val="24"/>
          <w:bdr w:val="nil"/>
          <w:lang w:val="el-GR"/>
        </w:rPr>
        <w:t>.</w:t>
      </w:r>
      <w:r w:rsidRPr="008275EC">
        <w:rPr>
          <w:rFonts w:eastAsia="Arial Unicode MS"/>
          <w:noProof/>
          <w:szCs w:val="24"/>
          <w:bdr w:val="nil"/>
        </w:rPr>
        <w:t>gr</w:t>
      </w:r>
      <w:r w:rsidRPr="008275EC">
        <w:rPr>
          <w:rFonts w:eastAsia="Arial Unicode MS"/>
          <w:noProof/>
          <w:szCs w:val="24"/>
          <w:bdr w:val="nil"/>
          <w:lang w:val="el-GR"/>
        </w:rPr>
        <w:t xml:space="preserve">. (2021). </w:t>
      </w:r>
      <w:r w:rsidR="0084609F" w:rsidRPr="0084609F">
        <w:rPr>
          <w:rFonts w:eastAsia="Arial Unicode MS"/>
          <w:noProof/>
          <w:szCs w:val="24"/>
          <w:bdr w:val="nil"/>
        </w:rPr>
        <w:t>Alpha</w:t>
      </w:r>
      <w:r w:rsidR="0084609F" w:rsidRPr="0084609F">
        <w:rPr>
          <w:rFonts w:eastAsia="Arial Unicode MS"/>
          <w:noProof/>
          <w:szCs w:val="24"/>
          <w:bdr w:val="nil"/>
          <w:lang w:val="el-GR"/>
        </w:rPr>
        <w:t xml:space="preserve"> Υπηρεσιών και Συμμετοχων</w:t>
      </w:r>
      <w:r w:rsidRPr="008275EC">
        <w:rPr>
          <w:rFonts w:eastAsia="Arial Unicode MS"/>
          <w:noProof/>
          <w:szCs w:val="24"/>
          <w:bdr w:val="nil"/>
          <w:lang w:val="el-GR"/>
        </w:rPr>
        <w:t xml:space="preserve"> ΑΕ. Ανάκτηση από </w:t>
      </w:r>
      <w:r w:rsidRPr="008275EC">
        <w:rPr>
          <w:rFonts w:eastAsia="Arial Unicode MS"/>
          <w:noProof/>
          <w:szCs w:val="24"/>
          <w:bdr w:val="nil"/>
        </w:rPr>
        <w:t>Liberal</w:t>
      </w:r>
      <w:r w:rsidRPr="008275EC">
        <w:rPr>
          <w:rFonts w:eastAsia="Arial Unicode MS"/>
          <w:noProof/>
          <w:szCs w:val="24"/>
          <w:bdr w:val="nil"/>
          <w:lang w:val="el-GR"/>
        </w:rPr>
        <w:t>.</w:t>
      </w:r>
      <w:r w:rsidRPr="008275EC">
        <w:rPr>
          <w:rFonts w:eastAsia="Arial Unicode MS"/>
          <w:noProof/>
          <w:szCs w:val="24"/>
          <w:bdr w:val="nil"/>
        </w:rPr>
        <w:t>gr</w:t>
      </w:r>
      <w:r w:rsidRPr="008275EC">
        <w:rPr>
          <w:rFonts w:eastAsia="Arial Unicode MS"/>
          <w:noProof/>
          <w:szCs w:val="24"/>
          <w:bdr w:val="nil"/>
          <w:lang w:val="el-GR"/>
        </w:rPr>
        <w:t xml:space="preserve">: </w:t>
      </w:r>
      <w:r w:rsidRPr="008275EC">
        <w:rPr>
          <w:rFonts w:eastAsia="Arial Unicode MS"/>
          <w:noProof/>
          <w:szCs w:val="24"/>
          <w:bdr w:val="nil"/>
        </w:rPr>
        <w:t>https</w:t>
      </w:r>
      <w:r w:rsidRPr="008275EC">
        <w:rPr>
          <w:rFonts w:eastAsia="Arial Unicode MS"/>
          <w:noProof/>
          <w:szCs w:val="24"/>
          <w:bdr w:val="nil"/>
          <w:lang w:val="el-GR"/>
        </w:rPr>
        <w:t>://</w:t>
      </w:r>
      <w:r w:rsidRPr="008275EC">
        <w:rPr>
          <w:rFonts w:eastAsia="Arial Unicode MS"/>
          <w:noProof/>
          <w:szCs w:val="24"/>
          <w:bdr w:val="nil"/>
        </w:rPr>
        <w:t>www</w:t>
      </w:r>
      <w:r w:rsidRPr="008275EC">
        <w:rPr>
          <w:rFonts w:eastAsia="Arial Unicode MS"/>
          <w:noProof/>
          <w:szCs w:val="24"/>
          <w:bdr w:val="nil"/>
          <w:lang w:val="el-GR"/>
        </w:rPr>
        <w:t>.</w:t>
      </w:r>
      <w:r w:rsidRPr="008275EC">
        <w:rPr>
          <w:rFonts w:eastAsia="Arial Unicode MS"/>
          <w:noProof/>
          <w:szCs w:val="24"/>
          <w:bdr w:val="nil"/>
        </w:rPr>
        <w:t>liberal</w:t>
      </w:r>
      <w:r w:rsidRPr="008275EC">
        <w:rPr>
          <w:rFonts w:eastAsia="Arial Unicode MS"/>
          <w:noProof/>
          <w:szCs w:val="24"/>
          <w:bdr w:val="nil"/>
          <w:lang w:val="el-GR"/>
        </w:rPr>
        <w:t>.</w:t>
      </w:r>
      <w:r w:rsidRPr="008275EC">
        <w:rPr>
          <w:rFonts w:eastAsia="Arial Unicode MS"/>
          <w:noProof/>
          <w:szCs w:val="24"/>
          <w:bdr w:val="nil"/>
        </w:rPr>
        <w:t>gr</w:t>
      </w:r>
      <w:r w:rsidRPr="008275EC">
        <w:rPr>
          <w:rFonts w:eastAsia="Arial Unicode MS"/>
          <w:noProof/>
          <w:szCs w:val="24"/>
          <w:bdr w:val="nil"/>
          <w:lang w:val="el-GR"/>
        </w:rPr>
        <w:t>/</w:t>
      </w:r>
      <w:r w:rsidRPr="008275EC">
        <w:rPr>
          <w:rFonts w:eastAsia="Arial Unicode MS"/>
          <w:noProof/>
          <w:szCs w:val="24"/>
          <w:bdr w:val="nil"/>
        </w:rPr>
        <w:t>stock</w:t>
      </w:r>
      <w:r w:rsidRPr="008275EC">
        <w:rPr>
          <w:rFonts w:eastAsia="Arial Unicode MS"/>
          <w:noProof/>
          <w:szCs w:val="24"/>
          <w:bdr w:val="nil"/>
          <w:lang w:val="el-GR"/>
        </w:rPr>
        <w:t>/%</w:t>
      </w:r>
      <w:r w:rsidRPr="008275EC">
        <w:rPr>
          <w:rFonts w:eastAsia="Arial Unicode MS"/>
          <w:noProof/>
          <w:szCs w:val="24"/>
          <w:bdr w:val="nil"/>
        </w:rPr>
        <w:t>CE</w:t>
      </w:r>
      <w:r w:rsidRPr="008275EC">
        <w:rPr>
          <w:rFonts w:eastAsia="Arial Unicode MS"/>
          <w:noProof/>
          <w:szCs w:val="24"/>
          <w:bdr w:val="nil"/>
          <w:lang w:val="el-GR"/>
        </w:rPr>
        <w:t>%91%</w:t>
      </w:r>
      <w:r w:rsidRPr="008275EC">
        <w:rPr>
          <w:rFonts w:eastAsia="Arial Unicode MS"/>
          <w:noProof/>
          <w:szCs w:val="24"/>
          <w:bdr w:val="nil"/>
        </w:rPr>
        <w:t>CE</w:t>
      </w:r>
      <w:r w:rsidRPr="008275EC">
        <w:rPr>
          <w:rFonts w:eastAsia="Arial Unicode MS"/>
          <w:noProof/>
          <w:szCs w:val="24"/>
          <w:bdr w:val="nil"/>
          <w:lang w:val="el-GR"/>
        </w:rPr>
        <w:t>%9</w:t>
      </w:r>
      <w:r w:rsidRPr="008275EC">
        <w:rPr>
          <w:rFonts w:eastAsia="Arial Unicode MS"/>
          <w:noProof/>
          <w:szCs w:val="24"/>
          <w:bdr w:val="nil"/>
        </w:rPr>
        <w:t>B</w:t>
      </w:r>
      <w:r w:rsidRPr="008275EC">
        <w:rPr>
          <w:rFonts w:eastAsia="Arial Unicode MS"/>
          <w:noProof/>
          <w:szCs w:val="24"/>
          <w:bdr w:val="nil"/>
          <w:lang w:val="el-GR"/>
        </w:rPr>
        <w:t>%</w:t>
      </w:r>
      <w:r w:rsidRPr="008275EC">
        <w:rPr>
          <w:rFonts w:eastAsia="Arial Unicode MS"/>
          <w:noProof/>
          <w:szCs w:val="24"/>
          <w:bdr w:val="nil"/>
        </w:rPr>
        <w:t>CE</w:t>
      </w:r>
      <w:r w:rsidRPr="008275EC">
        <w:rPr>
          <w:rFonts w:eastAsia="Arial Unicode MS"/>
          <w:noProof/>
          <w:szCs w:val="24"/>
          <w:bdr w:val="nil"/>
          <w:lang w:val="el-GR"/>
        </w:rPr>
        <w:t>%</w:t>
      </w:r>
      <w:r w:rsidRPr="008275EC">
        <w:rPr>
          <w:rFonts w:eastAsia="Arial Unicode MS"/>
          <w:noProof/>
          <w:szCs w:val="24"/>
          <w:bdr w:val="nil"/>
        </w:rPr>
        <w:t>A</w:t>
      </w:r>
      <w:r w:rsidRPr="008275EC">
        <w:rPr>
          <w:rFonts w:eastAsia="Arial Unicode MS"/>
          <w:noProof/>
          <w:szCs w:val="24"/>
          <w:bdr w:val="nil"/>
          <w:lang w:val="el-GR"/>
        </w:rPr>
        <w:t>6%</w:t>
      </w:r>
      <w:r w:rsidRPr="008275EC">
        <w:rPr>
          <w:rFonts w:eastAsia="Arial Unicode MS"/>
          <w:noProof/>
          <w:szCs w:val="24"/>
          <w:bdr w:val="nil"/>
        </w:rPr>
        <w:t>CE</w:t>
      </w:r>
      <w:r w:rsidRPr="008275EC">
        <w:rPr>
          <w:rFonts w:eastAsia="Arial Unicode MS"/>
          <w:noProof/>
          <w:szCs w:val="24"/>
          <w:bdr w:val="nil"/>
          <w:lang w:val="el-GR"/>
        </w:rPr>
        <w:t>%91 [Πρόσβαση 08 Οκτωβρίου 2021]</w:t>
      </w:r>
    </w:p>
    <w:p w14:paraId="20D9B021" w14:textId="50323769" w:rsidR="008275EC" w:rsidRPr="008275EC" w:rsidRDefault="008275EC" w:rsidP="0084609F">
      <w:pPr>
        <w:pBdr>
          <w:top w:val="nil"/>
          <w:left w:val="nil"/>
          <w:bottom w:val="nil"/>
          <w:right w:val="nil"/>
          <w:between w:val="nil"/>
          <w:bar w:val="nil"/>
        </w:pBdr>
        <w:spacing w:after="120" w:line="240" w:lineRule="auto"/>
        <w:ind w:left="720" w:hanging="720"/>
        <w:rPr>
          <w:rFonts w:eastAsia="Arial Unicode MS"/>
          <w:noProof/>
          <w:szCs w:val="24"/>
          <w:bdr w:val="nil"/>
          <w:lang w:val="el-GR"/>
        </w:rPr>
      </w:pPr>
      <w:r w:rsidRPr="008275EC">
        <w:rPr>
          <w:rFonts w:eastAsia="Arial Unicode MS"/>
          <w:noProof/>
          <w:szCs w:val="24"/>
          <w:bdr w:val="nil"/>
        </w:rPr>
        <w:t>Liberal</w:t>
      </w:r>
      <w:r w:rsidRPr="008D791C">
        <w:rPr>
          <w:rFonts w:eastAsia="Arial Unicode MS"/>
          <w:noProof/>
          <w:szCs w:val="24"/>
          <w:bdr w:val="nil"/>
        </w:rPr>
        <w:t>.</w:t>
      </w:r>
      <w:r w:rsidRPr="008275EC">
        <w:rPr>
          <w:rFonts w:eastAsia="Arial Unicode MS"/>
          <w:noProof/>
          <w:szCs w:val="24"/>
          <w:bdr w:val="nil"/>
        </w:rPr>
        <w:t>gr</w:t>
      </w:r>
      <w:r w:rsidRPr="008D791C">
        <w:rPr>
          <w:rFonts w:eastAsia="Arial Unicode MS"/>
          <w:noProof/>
          <w:szCs w:val="24"/>
          <w:bdr w:val="nil"/>
        </w:rPr>
        <w:t xml:space="preserve">. (2021). </w:t>
      </w:r>
      <w:r w:rsidR="0084609F" w:rsidRPr="008275EC">
        <w:rPr>
          <w:rFonts w:eastAsia="Arial Unicode MS"/>
          <w:noProof/>
          <w:szCs w:val="24"/>
          <w:bdr w:val="nil"/>
        </w:rPr>
        <w:t>Eurobank</w:t>
      </w:r>
      <w:r w:rsidR="0084609F" w:rsidRPr="008D791C">
        <w:rPr>
          <w:rFonts w:eastAsia="Arial Unicode MS"/>
          <w:noProof/>
          <w:szCs w:val="24"/>
          <w:bdr w:val="nil"/>
        </w:rPr>
        <w:t xml:space="preserve"> </w:t>
      </w:r>
      <w:r w:rsidR="0084609F" w:rsidRPr="008275EC">
        <w:rPr>
          <w:rFonts w:eastAsia="Arial Unicode MS"/>
          <w:noProof/>
          <w:szCs w:val="24"/>
          <w:bdr w:val="nil"/>
        </w:rPr>
        <w:t>Ergasias</w:t>
      </w:r>
      <w:r w:rsidRPr="008D791C">
        <w:rPr>
          <w:rFonts w:eastAsia="Arial Unicode MS"/>
          <w:noProof/>
          <w:szCs w:val="24"/>
          <w:bdr w:val="nil"/>
        </w:rPr>
        <w:t xml:space="preserve"> (</w:t>
      </w:r>
      <w:r w:rsidRPr="008275EC">
        <w:rPr>
          <w:rFonts w:eastAsia="Arial Unicode MS"/>
          <w:noProof/>
          <w:szCs w:val="24"/>
          <w:bdr w:val="nil"/>
          <w:lang w:val="el-GR"/>
        </w:rPr>
        <w:t>Κ</w:t>
      </w:r>
      <w:r w:rsidRPr="008D791C">
        <w:rPr>
          <w:rFonts w:eastAsia="Arial Unicode MS"/>
          <w:noProof/>
          <w:szCs w:val="24"/>
          <w:bdr w:val="nil"/>
        </w:rPr>
        <w:t>.</w:t>
      </w:r>
      <w:r w:rsidRPr="008275EC">
        <w:rPr>
          <w:rFonts w:eastAsia="Arial Unicode MS"/>
          <w:noProof/>
          <w:szCs w:val="24"/>
          <w:bdr w:val="nil"/>
          <w:lang w:val="el-GR"/>
        </w:rPr>
        <w:t>Ο</w:t>
      </w:r>
      <w:r w:rsidRPr="008D791C">
        <w:rPr>
          <w:rFonts w:eastAsia="Arial Unicode MS"/>
          <w:noProof/>
          <w:szCs w:val="24"/>
          <w:bdr w:val="nil"/>
        </w:rPr>
        <w:t xml:space="preserve">). </w:t>
      </w:r>
      <w:r w:rsidRPr="008275EC">
        <w:rPr>
          <w:rFonts w:eastAsia="Arial Unicode MS"/>
          <w:noProof/>
          <w:szCs w:val="24"/>
          <w:bdr w:val="nil"/>
          <w:lang w:val="el-GR"/>
        </w:rPr>
        <w:t xml:space="preserve">Ανάκτηση από </w:t>
      </w:r>
      <w:r w:rsidRPr="008275EC">
        <w:rPr>
          <w:rFonts w:eastAsia="Arial Unicode MS"/>
          <w:noProof/>
          <w:szCs w:val="24"/>
          <w:bdr w:val="nil"/>
        </w:rPr>
        <w:t>Liberal</w:t>
      </w:r>
      <w:r w:rsidRPr="008275EC">
        <w:rPr>
          <w:rFonts w:eastAsia="Arial Unicode MS"/>
          <w:noProof/>
          <w:szCs w:val="24"/>
          <w:bdr w:val="nil"/>
          <w:lang w:val="el-GR"/>
        </w:rPr>
        <w:t>.</w:t>
      </w:r>
      <w:r w:rsidRPr="008275EC">
        <w:rPr>
          <w:rFonts w:eastAsia="Arial Unicode MS"/>
          <w:noProof/>
          <w:szCs w:val="24"/>
          <w:bdr w:val="nil"/>
        </w:rPr>
        <w:t>gr</w:t>
      </w:r>
      <w:r w:rsidRPr="008275EC">
        <w:rPr>
          <w:rFonts w:eastAsia="Arial Unicode MS"/>
          <w:noProof/>
          <w:szCs w:val="24"/>
          <w:bdr w:val="nil"/>
          <w:lang w:val="el-GR"/>
        </w:rPr>
        <w:t xml:space="preserve">: </w:t>
      </w:r>
      <w:r w:rsidRPr="008275EC">
        <w:rPr>
          <w:rFonts w:eastAsia="Arial Unicode MS"/>
          <w:noProof/>
          <w:szCs w:val="24"/>
          <w:bdr w:val="nil"/>
        </w:rPr>
        <w:t>https</w:t>
      </w:r>
      <w:r w:rsidRPr="008275EC">
        <w:rPr>
          <w:rFonts w:eastAsia="Arial Unicode MS"/>
          <w:noProof/>
          <w:szCs w:val="24"/>
          <w:bdr w:val="nil"/>
          <w:lang w:val="el-GR"/>
        </w:rPr>
        <w:t>://</w:t>
      </w:r>
      <w:r w:rsidRPr="008275EC">
        <w:rPr>
          <w:rFonts w:eastAsia="Arial Unicode MS"/>
          <w:noProof/>
          <w:szCs w:val="24"/>
          <w:bdr w:val="nil"/>
        </w:rPr>
        <w:t>www</w:t>
      </w:r>
      <w:r w:rsidRPr="008275EC">
        <w:rPr>
          <w:rFonts w:eastAsia="Arial Unicode MS"/>
          <w:noProof/>
          <w:szCs w:val="24"/>
          <w:bdr w:val="nil"/>
          <w:lang w:val="el-GR"/>
        </w:rPr>
        <w:t>.</w:t>
      </w:r>
      <w:r w:rsidRPr="008275EC">
        <w:rPr>
          <w:rFonts w:eastAsia="Arial Unicode MS"/>
          <w:noProof/>
          <w:szCs w:val="24"/>
          <w:bdr w:val="nil"/>
        </w:rPr>
        <w:t>liberal</w:t>
      </w:r>
      <w:r w:rsidRPr="008275EC">
        <w:rPr>
          <w:rFonts w:eastAsia="Arial Unicode MS"/>
          <w:noProof/>
          <w:szCs w:val="24"/>
          <w:bdr w:val="nil"/>
          <w:lang w:val="el-GR"/>
        </w:rPr>
        <w:t>.</w:t>
      </w:r>
      <w:r w:rsidRPr="008275EC">
        <w:rPr>
          <w:rFonts w:eastAsia="Arial Unicode MS"/>
          <w:noProof/>
          <w:szCs w:val="24"/>
          <w:bdr w:val="nil"/>
        </w:rPr>
        <w:t>gr</w:t>
      </w:r>
      <w:r w:rsidRPr="008275EC">
        <w:rPr>
          <w:rFonts w:eastAsia="Arial Unicode MS"/>
          <w:noProof/>
          <w:szCs w:val="24"/>
          <w:bdr w:val="nil"/>
          <w:lang w:val="el-GR"/>
        </w:rPr>
        <w:t>/</w:t>
      </w:r>
      <w:r w:rsidRPr="008275EC">
        <w:rPr>
          <w:rFonts w:eastAsia="Arial Unicode MS"/>
          <w:noProof/>
          <w:szCs w:val="24"/>
          <w:bdr w:val="nil"/>
        </w:rPr>
        <w:t>stock</w:t>
      </w:r>
      <w:r w:rsidRPr="008275EC">
        <w:rPr>
          <w:rFonts w:eastAsia="Arial Unicode MS"/>
          <w:noProof/>
          <w:szCs w:val="24"/>
          <w:bdr w:val="nil"/>
          <w:lang w:val="el-GR"/>
        </w:rPr>
        <w:t>/%</w:t>
      </w:r>
      <w:r w:rsidRPr="008275EC">
        <w:rPr>
          <w:rFonts w:eastAsia="Arial Unicode MS"/>
          <w:noProof/>
          <w:szCs w:val="24"/>
          <w:bdr w:val="nil"/>
        </w:rPr>
        <w:t>CE</w:t>
      </w:r>
      <w:r w:rsidRPr="008275EC">
        <w:rPr>
          <w:rFonts w:eastAsia="Arial Unicode MS"/>
          <w:noProof/>
          <w:szCs w:val="24"/>
          <w:bdr w:val="nil"/>
          <w:lang w:val="el-GR"/>
        </w:rPr>
        <w:t>%95%</w:t>
      </w:r>
      <w:r w:rsidRPr="008275EC">
        <w:rPr>
          <w:rFonts w:eastAsia="Arial Unicode MS"/>
          <w:noProof/>
          <w:szCs w:val="24"/>
          <w:bdr w:val="nil"/>
        </w:rPr>
        <w:t>CE</w:t>
      </w:r>
      <w:r w:rsidRPr="008275EC">
        <w:rPr>
          <w:rFonts w:eastAsia="Arial Unicode MS"/>
          <w:noProof/>
          <w:szCs w:val="24"/>
          <w:bdr w:val="nil"/>
          <w:lang w:val="el-GR"/>
        </w:rPr>
        <w:t>%</w:t>
      </w:r>
      <w:r w:rsidRPr="008275EC">
        <w:rPr>
          <w:rFonts w:eastAsia="Arial Unicode MS"/>
          <w:noProof/>
          <w:szCs w:val="24"/>
          <w:bdr w:val="nil"/>
        </w:rPr>
        <w:t>A</w:t>
      </w:r>
      <w:r w:rsidRPr="008275EC">
        <w:rPr>
          <w:rFonts w:eastAsia="Arial Unicode MS"/>
          <w:noProof/>
          <w:szCs w:val="24"/>
          <w:bdr w:val="nil"/>
          <w:lang w:val="el-GR"/>
        </w:rPr>
        <w:t>5%</w:t>
      </w:r>
      <w:r w:rsidRPr="008275EC">
        <w:rPr>
          <w:rFonts w:eastAsia="Arial Unicode MS"/>
          <w:noProof/>
          <w:szCs w:val="24"/>
          <w:bdr w:val="nil"/>
        </w:rPr>
        <w:t>CE</w:t>
      </w:r>
      <w:r w:rsidRPr="008275EC">
        <w:rPr>
          <w:rFonts w:eastAsia="Arial Unicode MS"/>
          <w:noProof/>
          <w:szCs w:val="24"/>
          <w:bdr w:val="nil"/>
          <w:lang w:val="el-GR"/>
        </w:rPr>
        <w:t>%</w:t>
      </w:r>
      <w:r w:rsidRPr="008275EC">
        <w:rPr>
          <w:rFonts w:eastAsia="Arial Unicode MS"/>
          <w:noProof/>
          <w:szCs w:val="24"/>
          <w:bdr w:val="nil"/>
        </w:rPr>
        <w:t>A</w:t>
      </w:r>
      <w:r w:rsidRPr="008275EC">
        <w:rPr>
          <w:rFonts w:eastAsia="Arial Unicode MS"/>
          <w:noProof/>
          <w:szCs w:val="24"/>
          <w:bdr w:val="nil"/>
          <w:lang w:val="el-GR"/>
        </w:rPr>
        <w:t>1%</w:t>
      </w:r>
      <w:r w:rsidRPr="008275EC">
        <w:rPr>
          <w:rFonts w:eastAsia="Arial Unicode MS"/>
          <w:noProof/>
          <w:szCs w:val="24"/>
          <w:bdr w:val="nil"/>
        </w:rPr>
        <w:t>CE</w:t>
      </w:r>
      <w:r w:rsidRPr="008275EC">
        <w:rPr>
          <w:rFonts w:eastAsia="Arial Unicode MS"/>
          <w:noProof/>
          <w:szCs w:val="24"/>
          <w:bdr w:val="nil"/>
          <w:lang w:val="el-GR"/>
        </w:rPr>
        <w:t>%</w:t>
      </w:r>
      <w:r w:rsidRPr="008275EC">
        <w:rPr>
          <w:rFonts w:eastAsia="Arial Unicode MS"/>
          <w:noProof/>
          <w:szCs w:val="24"/>
          <w:bdr w:val="nil"/>
        </w:rPr>
        <w:t>A</w:t>
      </w:r>
      <w:r w:rsidRPr="008275EC">
        <w:rPr>
          <w:rFonts w:eastAsia="Arial Unicode MS"/>
          <w:noProof/>
          <w:szCs w:val="24"/>
          <w:bdr w:val="nil"/>
          <w:lang w:val="el-GR"/>
        </w:rPr>
        <w:t>9%</w:t>
      </w:r>
      <w:r w:rsidRPr="008275EC">
        <w:rPr>
          <w:rFonts w:eastAsia="Arial Unicode MS"/>
          <w:noProof/>
          <w:szCs w:val="24"/>
          <w:bdr w:val="nil"/>
        </w:rPr>
        <w:t>CE</w:t>
      </w:r>
      <w:r w:rsidRPr="008275EC">
        <w:rPr>
          <w:rFonts w:eastAsia="Arial Unicode MS"/>
          <w:noProof/>
          <w:szCs w:val="24"/>
          <w:bdr w:val="nil"/>
          <w:lang w:val="el-GR"/>
        </w:rPr>
        <w:t>%92 [Πρόσβαση 08 Οκτωβρίου 2021]</w:t>
      </w:r>
    </w:p>
    <w:p w14:paraId="5A46A3D9" w14:textId="77777777" w:rsidR="008275EC" w:rsidRPr="008275EC" w:rsidRDefault="008275EC" w:rsidP="0084609F">
      <w:pPr>
        <w:pBdr>
          <w:top w:val="nil"/>
          <w:left w:val="nil"/>
          <w:bottom w:val="nil"/>
          <w:right w:val="nil"/>
          <w:between w:val="nil"/>
          <w:bar w:val="nil"/>
        </w:pBdr>
        <w:spacing w:after="120" w:line="240" w:lineRule="auto"/>
        <w:ind w:left="720" w:hanging="720"/>
        <w:rPr>
          <w:rFonts w:eastAsia="Arial Unicode MS"/>
          <w:noProof/>
          <w:szCs w:val="24"/>
          <w:bdr w:val="nil"/>
          <w:lang w:val="el-GR"/>
        </w:rPr>
      </w:pPr>
      <w:r w:rsidRPr="008275EC">
        <w:rPr>
          <w:rFonts w:eastAsia="Arial Unicode MS"/>
          <w:noProof/>
          <w:szCs w:val="24"/>
          <w:bdr w:val="nil"/>
          <w:lang w:val="el-GR"/>
        </w:rPr>
        <w:lastRenderedPageBreak/>
        <w:t>Liberal.gr. (2021). Εθνική Τράπεζα της Ελλάδος (ΚΟ). Ανάκτηση από Liberal.gr: https://www.liberal.gr/stock/%CE%95%CE%A4%CE%95 [Πρόσβαση 08 Οκτωβρίου 2021]</w:t>
      </w:r>
    </w:p>
    <w:p w14:paraId="6308AF12" w14:textId="2C10E80E" w:rsidR="008275EC" w:rsidRPr="008275EC" w:rsidRDefault="008275EC" w:rsidP="0084609F">
      <w:pPr>
        <w:pBdr>
          <w:top w:val="nil"/>
          <w:left w:val="nil"/>
          <w:bottom w:val="nil"/>
          <w:right w:val="nil"/>
          <w:between w:val="nil"/>
          <w:bar w:val="nil"/>
        </w:pBdr>
        <w:spacing w:after="120" w:line="240" w:lineRule="auto"/>
        <w:ind w:left="720" w:hanging="720"/>
        <w:rPr>
          <w:rFonts w:eastAsia="Arial Unicode MS"/>
          <w:noProof/>
          <w:szCs w:val="24"/>
          <w:bdr w:val="nil"/>
          <w:lang w:val="el-GR"/>
        </w:rPr>
      </w:pPr>
      <w:r w:rsidRPr="008275EC">
        <w:rPr>
          <w:rFonts w:eastAsia="Arial Unicode MS"/>
          <w:noProof/>
          <w:szCs w:val="24"/>
          <w:bdr w:val="nil"/>
        </w:rPr>
        <w:t xml:space="preserve">Liberal.gr. (2021). </w:t>
      </w:r>
      <w:r w:rsidR="0084609F" w:rsidRPr="0084609F">
        <w:rPr>
          <w:rFonts w:eastAsia="Arial Unicode MS"/>
          <w:noProof/>
          <w:szCs w:val="24"/>
          <w:bdr w:val="nil"/>
          <w:lang w:val="el-GR"/>
        </w:rPr>
        <w:t>Πειραιώς</w:t>
      </w:r>
      <w:r w:rsidR="0084609F" w:rsidRPr="002E7AE8">
        <w:rPr>
          <w:rFonts w:eastAsia="Arial Unicode MS"/>
          <w:noProof/>
          <w:szCs w:val="24"/>
          <w:bdr w:val="nil"/>
        </w:rPr>
        <w:t xml:space="preserve"> Financial Holdings</w:t>
      </w:r>
      <w:r w:rsidRPr="008275EC">
        <w:rPr>
          <w:rFonts w:eastAsia="Arial Unicode MS"/>
          <w:noProof/>
          <w:szCs w:val="24"/>
          <w:bdr w:val="nil"/>
        </w:rPr>
        <w:t xml:space="preserve"> </w:t>
      </w:r>
      <w:r w:rsidRPr="008275EC">
        <w:rPr>
          <w:rFonts w:eastAsia="Arial Unicode MS"/>
          <w:noProof/>
          <w:szCs w:val="24"/>
          <w:bdr w:val="nil"/>
          <w:lang w:val="el-GR"/>
        </w:rPr>
        <w:t>ΑΕ</w:t>
      </w:r>
      <w:r w:rsidRPr="008275EC">
        <w:rPr>
          <w:rFonts w:eastAsia="Arial Unicode MS"/>
          <w:noProof/>
          <w:szCs w:val="24"/>
          <w:bdr w:val="nil"/>
        </w:rPr>
        <w:t xml:space="preserve">. </w:t>
      </w:r>
      <w:r w:rsidRPr="008275EC">
        <w:rPr>
          <w:rFonts w:eastAsia="Arial Unicode MS"/>
          <w:noProof/>
          <w:szCs w:val="24"/>
          <w:bdr w:val="nil"/>
          <w:lang w:val="el-GR"/>
        </w:rPr>
        <w:t>Ανάκτηση από Liberal.gr: https://www.liberal.gr/stock/%CE%A0%CE%95%CE%99%CE%A1 [Πρόσβαση 08 Οκτωβρίου 2021]</w:t>
      </w:r>
    </w:p>
    <w:p w14:paraId="59743BD0" w14:textId="1FA33AB4" w:rsidR="003138A2" w:rsidRDefault="008275EC" w:rsidP="0084609F">
      <w:pPr>
        <w:spacing w:after="120" w:line="240" w:lineRule="auto"/>
        <w:ind w:firstLine="0"/>
        <w:rPr>
          <w:lang w:val="el-GR"/>
        </w:rPr>
      </w:pPr>
      <w:r w:rsidRPr="008275EC">
        <w:rPr>
          <w:rFonts w:eastAsia="Calibri"/>
          <w:b/>
          <w:bCs/>
          <w:szCs w:val="24"/>
          <w:u w:val="single"/>
          <w:lang w:val="el-GR"/>
        </w:rPr>
        <w:fldChar w:fldCharType="end"/>
      </w:r>
    </w:p>
    <w:p w14:paraId="252C5E5D" w14:textId="2AC7E02D" w:rsidR="001D5854" w:rsidRPr="001B0BAE" w:rsidRDefault="001D5854" w:rsidP="00F1704A">
      <w:pPr>
        <w:pStyle w:val="a0"/>
        <w:ind w:firstLine="0"/>
        <w:rPr>
          <w:lang w:val="el-GR"/>
        </w:rPr>
      </w:pPr>
    </w:p>
    <w:p w14:paraId="322CCFEE" w14:textId="77777777" w:rsidR="001D5854" w:rsidRPr="001B0BAE" w:rsidRDefault="001D5854" w:rsidP="00BF72D1">
      <w:pPr>
        <w:rPr>
          <w:lang w:val="el-GR"/>
        </w:rPr>
      </w:pPr>
    </w:p>
    <w:sectPr w:rsidR="001D5854" w:rsidRPr="001B0BAE" w:rsidSect="001D5854">
      <w:headerReference w:type="default" r:id="rId40"/>
      <w:pgSz w:w="12240" w:h="15840" w:code="1"/>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A37245" w14:textId="77777777" w:rsidR="00735691" w:rsidRDefault="00735691">
      <w:r>
        <w:separator/>
      </w:r>
    </w:p>
  </w:endnote>
  <w:endnote w:type="continuationSeparator" w:id="0">
    <w:p w14:paraId="6F871F66" w14:textId="77777777" w:rsidR="00735691" w:rsidRDefault="007356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Times">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000247B" w:usb2="00000009" w:usb3="00000000" w:csb0="000001FF" w:csb1="00000000"/>
  </w:font>
  <w:font w:name="Cambria">
    <w:panose1 w:val="02040503050406030204"/>
    <w:charset w:val="A1"/>
    <w:family w:val="roman"/>
    <w:pitch w:val="variable"/>
    <w:sig w:usb0="E00006FF" w:usb1="420024FF" w:usb2="02000000" w:usb3="00000000" w:csb0="0000019F" w:csb1="00000000"/>
  </w:font>
  <w:font w:name="Tahoma">
    <w:panose1 w:val="020B0604030504040204"/>
    <w:charset w:val="A1"/>
    <w:family w:val="swiss"/>
    <w:pitch w:val="variable"/>
    <w:sig w:usb0="E1002EFF" w:usb1="C000605B" w:usb2="00000029" w:usb3="00000000" w:csb0="000101FF" w:csb1="00000000"/>
  </w:font>
  <w:font w:name="Helvetica Neue">
    <w:altName w:val="Arial"/>
    <w:charset w:val="00"/>
    <w:family w:val="roman"/>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8727391"/>
      <w:docPartObj>
        <w:docPartGallery w:val="Page Numbers (Bottom of Page)"/>
        <w:docPartUnique/>
      </w:docPartObj>
    </w:sdtPr>
    <w:sdtEndPr>
      <w:rPr>
        <w:noProof/>
      </w:rPr>
    </w:sdtEndPr>
    <w:sdtContent>
      <w:p w14:paraId="4DE96CF0" w14:textId="77777777" w:rsidR="008D791C" w:rsidRDefault="008D791C">
        <w:pPr>
          <w:pStyle w:val="a6"/>
          <w:jc w:val="right"/>
        </w:pPr>
        <w:r>
          <w:fldChar w:fldCharType="begin"/>
        </w:r>
        <w:r>
          <w:instrText xml:space="preserve"> PAGE   \* MERGEFORMAT </w:instrText>
        </w:r>
        <w:r>
          <w:fldChar w:fldCharType="separate"/>
        </w:r>
        <w:r w:rsidR="00171A46">
          <w:rPr>
            <w:noProof/>
          </w:rPr>
          <w:t>V</w:t>
        </w:r>
        <w:r>
          <w:rPr>
            <w:noProof/>
          </w:rPr>
          <w:fldChar w:fldCharType="end"/>
        </w:r>
      </w:p>
    </w:sdtContent>
  </w:sdt>
  <w:p w14:paraId="0F050F21" w14:textId="77777777" w:rsidR="008D791C" w:rsidRDefault="008D791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96D63E" w14:textId="77777777" w:rsidR="00735691" w:rsidRDefault="00735691">
      <w:r>
        <w:separator/>
      </w:r>
    </w:p>
  </w:footnote>
  <w:footnote w:type="continuationSeparator" w:id="0">
    <w:p w14:paraId="08F52F6F" w14:textId="77777777" w:rsidR="00735691" w:rsidRDefault="00735691">
      <w:r>
        <w:continuationSeparator/>
      </w:r>
    </w:p>
  </w:footnote>
  <w:footnote w:id="1">
    <w:p w14:paraId="4CB3E552" w14:textId="77777777" w:rsidR="008D791C" w:rsidRPr="00920D91" w:rsidRDefault="008D791C" w:rsidP="008275EC">
      <w:pPr>
        <w:pStyle w:val="Footnote"/>
        <w:jc w:val="both"/>
        <w:rPr>
          <w:lang w:val="el-GR"/>
        </w:rPr>
      </w:pPr>
      <w:r>
        <w:rPr>
          <w:rFonts w:ascii="Times New Roman" w:eastAsia="Times New Roman" w:hAnsi="Times New Roman" w:cs="Times New Roman"/>
          <w:sz w:val="20"/>
          <w:szCs w:val="20"/>
          <w:vertAlign w:val="superscript"/>
        </w:rPr>
        <w:footnoteRef/>
      </w:r>
      <w:r w:rsidRPr="00920D91">
        <w:rPr>
          <w:rFonts w:ascii="Times New Roman" w:hAnsi="Times New Roman"/>
          <w:sz w:val="20"/>
          <w:szCs w:val="20"/>
          <w:lang w:val="el-GR"/>
        </w:rPr>
        <w:t xml:space="preserve"> Συνήθως οργανισμοί που ανήκουν σε διαφορετικούς τομείς μιας αγοράς.</w:t>
      </w:r>
    </w:p>
  </w:footnote>
  <w:footnote w:id="2">
    <w:p w14:paraId="2C71560E" w14:textId="77777777" w:rsidR="008D791C" w:rsidRPr="00C0330D" w:rsidRDefault="008D791C" w:rsidP="008275EC">
      <w:pPr>
        <w:pStyle w:val="Footnote"/>
        <w:jc w:val="both"/>
        <w:rPr>
          <w:lang w:val="el-GR"/>
        </w:rPr>
      </w:pPr>
      <w:r>
        <w:rPr>
          <w:rFonts w:ascii="Times New Roman" w:eastAsia="Times New Roman" w:hAnsi="Times New Roman" w:cs="Times New Roman"/>
          <w:sz w:val="20"/>
          <w:szCs w:val="20"/>
          <w:vertAlign w:val="superscript"/>
        </w:rPr>
        <w:footnoteRef/>
      </w:r>
      <w:r w:rsidRPr="00C0330D">
        <w:rPr>
          <w:rFonts w:ascii="Times New Roman" w:hAnsi="Times New Roman"/>
          <w:sz w:val="20"/>
          <w:szCs w:val="20"/>
          <w:lang w:val="el-GR"/>
        </w:rPr>
        <w:t xml:space="preserve"> </w:t>
      </w:r>
      <w:r>
        <w:rPr>
          <w:rFonts w:ascii="Times New Roman" w:hAnsi="Times New Roman"/>
          <w:sz w:val="20"/>
          <w:szCs w:val="20"/>
        </w:rPr>
        <w:t>D</w:t>
      </w:r>
      <w:r>
        <w:rPr>
          <w:rFonts w:ascii="Times New Roman" w:hAnsi="Times New Roman"/>
          <w:sz w:val="20"/>
          <w:szCs w:val="20"/>
          <w:lang w:val="it-IT"/>
        </w:rPr>
        <w:t xml:space="preserve">ata </w:t>
      </w:r>
      <w:r>
        <w:rPr>
          <w:rFonts w:ascii="Times New Roman" w:hAnsi="Times New Roman"/>
          <w:sz w:val="20"/>
          <w:szCs w:val="20"/>
        </w:rPr>
        <w:t>Envelopment</w:t>
      </w:r>
      <w:r w:rsidRPr="00C0330D">
        <w:rPr>
          <w:rFonts w:ascii="Times New Roman" w:hAnsi="Times New Roman"/>
          <w:sz w:val="20"/>
          <w:szCs w:val="20"/>
          <w:lang w:val="el-GR"/>
        </w:rPr>
        <w:t xml:space="preserve"> </w:t>
      </w:r>
      <w:r>
        <w:rPr>
          <w:rFonts w:ascii="Times New Roman" w:hAnsi="Times New Roman"/>
          <w:sz w:val="20"/>
          <w:szCs w:val="20"/>
        </w:rPr>
        <w:t>Analysis</w:t>
      </w:r>
      <w:r w:rsidRPr="00C0330D">
        <w:rPr>
          <w:rFonts w:ascii="Times New Roman" w:hAnsi="Times New Roman"/>
          <w:sz w:val="20"/>
          <w:szCs w:val="20"/>
          <w:lang w:val="el-GR"/>
        </w:rPr>
        <w:t>.</w:t>
      </w:r>
    </w:p>
  </w:footnote>
  <w:footnote w:id="3">
    <w:p w14:paraId="12FF13B5" w14:textId="77777777" w:rsidR="008D791C" w:rsidRPr="00BE36DB" w:rsidRDefault="008D791C" w:rsidP="008275EC">
      <w:pPr>
        <w:pStyle w:val="af5"/>
        <w:jc w:val="both"/>
        <w:rPr>
          <w:lang w:val="el-GR"/>
        </w:rPr>
      </w:pPr>
      <w:r>
        <w:rPr>
          <w:rStyle w:val="af6"/>
        </w:rPr>
        <w:footnoteRef/>
      </w:r>
      <w:r w:rsidRPr="00BE36DB">
        <w:rPr>
          <w:lang w:val="el-GR"/>
        </w:rPr>
        <w:t xml:space="preserve"> </w:t>
      </w:r>
      <w:r>
        <w:t>ROA</w:t>
      </w:r>
      <w:r w:rsidRPr="00BE36DB">
        <w:rPr>
          <w:lang w:val="el-GR"/>
        </w:rPr>
        <w:t xml:space="preserve">: θετική και σημαντική επίδραση </w:t>
      </w:r>
      <w:bookmarkStart w:id="37" w:name="_Hlk84182400"/>
      <w:r w:rsidRPr="00BE36DB">
        <w:rPr>
          <w:lang w:val="el-GR"/>
        </w:rPr>
        <w:t>στις τιμές των μετοχών</w:t>
      </w:r>
      <w:bookmarkEnd w:id="37"/>
      <w:r w:rsidRPr="00BE36DB">
        <w:rPr>
          <w:lang w:val="el-GR"/>
        </w:rPr>
        <w:t xml:space="preserve">. </w:t>
      </w:r>
      <w:r>
        <w:t>ROE</w:t>
      </w:r>
      <w:r w:rsidRPr="00BE36DB">
        <w:rPr>
          <w:lang w:val="el-GR"/>
        </w:rPr>
        <w:t xml:space="preserve">: ασήμαντη επίδραση στις τιμές των μετοχών. </w:t>
      </w:r>
      <w:r>
        <w:t>EPS</w:t>
      </w:r>
      <w:r w:rsidRPr="00C0330D">
        <w:rPr>
          <w:lang w:val="el-GR"/>
        </w:rPr>
        <w:t>:</w:t>
      </w:r>
      <w:r w:rsidRPr="00BE36DB">
        <w:rPr>
          <w:lang w:val="el-GR"/>
        </w:rPr>
        <w:t xml:space="preserve"> σημαντική αρνητική επίδραση στις τιμές των μετοχών</w:t>
      </w:r>
      <w:r>
        <w:rPr>
          <w:lang w:val="el-GR"/>
        </w:rPr>
        <w:t>.</w:t>
      </w:r>
    </w:p>
  </w:footnote>
  <w:footnote w:id="4">
    <w:p w14:paraId="5EA3B834" w14:textId="77777777" w:rsidR="008D791C" w:rsidRPr="004710B5" w:rsidRDefault="008D791C" w:rsidP="008275EC">
      <w:pPr>
        <w:pStyle w:val="af5"/>
        <w:jc w:val="both"/>
        <w:rPr>
          <w:lang w:val="el-GR"/>
        </w:rPr>
      </w:pPr>
      <w:r w:rsidRPr="004710B5">
        <w:rPr>
          <w:rStyle w:val="af6"/>
        </w:rPr>
        <w:footnoteRef/>
      </w:r>
      <w:r w:rsidRPr="004710B5">
        <w:rPr>
          <w:lang w:val="el-GR"/>
        </w:rPr>
        <w:t xml:space="preserve"> Η </w:t>
      </w:r>
      <w:r>
        <w:rPr>
          <w:lang w:val="el-GR"/>
        </w:rPr>
        <w:t xml:space="preserve">γραμμική </w:t>
      </w:r>
      <w:r w:rsidRPr="004710B5">
        <w:rPr>
          <w:lang w:val="el-GR"/>
        </w:rPr>
        <w:t xml:space="preserve">ανάλυση παλινδρόμησης είναι μια χρήσιμη </w:t>
      </w:r>
      <w:r>
        <w:rPr>
          <w:lang w:val="el-GR"/>
        </w:rPr>
        <w:t xml:space="preserve">ερευνητική </w:t>
      </w:r>
      <w:r w:rsidRPr="004710B5">
        <w:rPr>
          <w:lang w:val="el-GR"/>
        </w:rPr>
        <w:t xml:space="preserve">μέθοδος για την κατανόηση των </w:t>
      </w:r>
      <w:r>
        <w:rPr>
          <w:lang w:val="el-GR"/>
        </w:rPr>
        <w:t>μεταβολών</w:t>
      </w:r>
      <w:r w:rsidRPr="004710B5">
        <w:rPr>
          <w:lang w:val="el-GR"/>
        </w:rPr>
        <w:t xml:space="preserve"> </w:t>
      </w:r>
      <w:r>
        <w:rPr>
          <w:lang w:val="el-GR"/>
        </w:rPr>
        <w:t>της</w:t>
      </w:r>
      <w:r w:rsidRPr="004710B5">
        <w:rPr>
          <w:lang w:val="el-GR"/>
        </w:rPr>
        <w:t xml:space="preserve"> τιμή</w:t>
      </w:r>
      <w:r>
        <w:rPr>
          <w:lang w:val="el-GR"/>
        </w:rPr>
        <w:t>ς</w:t>
      </w:r>
      <w:r w:rsidRPr="004710B5">
        <w:rPr>
          <w:lang w:val="el-GR"/>
        </w:rPr>
        <w:t xml:space="preserve"> της εξαρτημένης μεταβλητής</w:t>
      </w:r>
      <w:r>
        <w:rPr>
          <w:lang w:val="el-GR"/>
        </w:rPr>
        <w:t>,</w:t>
      </w:r>
      <w:r w:rsidRPr="004710B5">
        <w:rPr>
          <w:lang w:val="el-GR"/>
        </w:rPr>
        <w:t xml:space="preserve"> όταν οι ανεξάρτητες μεταβλητές μεταβάλλονται.</w:t>
      </w:r>
    </w:p>
  </w:footnote>
  <w:footnote w:id="5">
    <w:p w14:paraId="49DE9E99" w14:textId="77777777" w:rsidR="008D791C" w:rsidRPr="00ED4E20" w:rsidRDefault="008D791C" w:rsidP="008275EC">
      <w:pPr>
        <w:pStyle w:val="af5"/>
        <w:jc w:val="both"/>
        <w:rPr>
          <w:lang w:val="el-GR"/>
        </w:rPr>
      </w:pPr>
      <w:r w:rsidRPr="00ED4E20">
        <w:rPr>
          <w:rStyle w:val="af6"/>
        </w:rPr>
        <w:footnoteRef/>
      </w:r>
      <w:r w:rsidRPr="00ED4E20">
        <w:rPr>
          <w:lang w:val="el-GR"/>
        </w:rPr>
        <w:t xml:space="preserve"> Παρόλο που οι δείκτες </w:t>
      </w:r>
      <w:r w:rsidRPr="00ED4E20">
        <w:t>ROA</w:t>
      </w:r>
      <w:r w:rsidRPr="00ED4E20">
        <w:rPr>
          <w:lang w:val="el-GR"/>
        </w:rPr>
        <w:t xml:space="preserve"> και </w:t>
      </w:r>
      <w:r w:rsidRPr="00ED4E20">
        <w:t>ROE</w:t>
      </w:r>
      <w:r w:rsidRPr="00ED4E20">
        <w:rPr>
          <w:lang w:val="el-GR"/>
        </w:rPr>
        <w:t xml:space="preserve"> μετρούν το ίδιο πράγμα -την κερδοφορία, θα μπουν και οι δύο στο υπόδειγμα για μεγαλύτερη αξιοπιστία του αποτελέσματος.</w:t>
      </w:r>
    </w:p>
  </w:footnote>
  <w:footnote w:id="6">
    <w:p w14:paraId="7C772926" w14:textId="77777777" w:rsidR="008D791C" w:rsidRPr="00B072A9" w:rsidRDefault="008D791C" w:rsidP="008275EC">
      <w:pPr>
        <w:pStyle w:val="af5"/>
        <w:jc w:val="both"/>
        <w:rPr>
          <w:lang w:val="el-GR"/>
        </w:rPr>
      </w:pPr>
      <w:r w:rsidRPr="00B072A9">
        <w:rPr>
          <w:rStyle w:val="af6"/>
        </w:rPr>
        <w:footnoteRef/>
      </w:r>
      <w:r w:rsidRPr="00B072A9">
        <w:rPr>
          <w:lang w:val="el-GR"/>
        </w:rPr>
        <w:t xml:space="preserve"> Στις υπό εξέταση γραμμικές αναλύσεις ισχύει ότι β</w:t>
      </w:r>
      <w:r w:rsidRPr="00B072A9">
        <w:rPr>
          <w:vertAlign w:val="subscript"/>
          <w:lang w:val="el-GR"/>
        </w:rPr>
        <w:t>0</w:t>
      </w:r>
      <w:r w:rsidRPr="00B072A9">
        <w:rPr>
          <w:lang w:val="el-GR"/>
        </w:rPr>
        <w:t xml:space="preserve"> είναι ο σταθερός όρος, οι β</w:t>
      </w:r>
      <w:r w:rsidRPr="00B072A9">
        <w:rPr>
          <w:vertAlign w:val="subscript"/>
          <w:lang w:val="el-GR"/>
        </w:rPr>
        <w:t>1</w:t>
      </w:r>
      <w:r w:rsidRPr="00B072A9">
        <w:rPr>
          <w:lang w:val="el-GR"/>
        </w:rPr>
        <w:t xml:space="preserve"> – β</w:t>
      </w:r>
      <w:r>
        <w:rPr>
          <w:vertAlign w:val="subscript"/>
          <w:lang w:val="el-GR"/>
        </w:rPr>
        <w:t>8</w:t>
      </w:r>
      <w:r w:rsidRPr="00B072A9">
        <w:rPr>
          <w:lang w:val="el-GR"/>
        </w:rPr>
        <w:t xml:space="preserve"> είναι οι συντελεστές κλίσης, και το ε είναι ο όρος σφάλματος της παλινδρόμησης.</w:t>
      </w:r>
    </w:p>
  </w:footnote>
  <w:footnote w:id="7">
    <w:p w14:paraId="4CB45E82" w14:textId="77777777" w:rsidR="008D791C" w:rsidRPr="00432C73" w:rsidRDefault="008D791C" w:rsidP="005E36AE">
      <w:pPr>
        <w:pStyle w:val="af5"/>
        <w:rPr>
          <w:lang w:val="el-GR"/>
        </w:rPr>
      </w:pPr>
      <w:r>
        <w:rPr>
          <w:rStyle w:val="af6"/>
        </w:rPr>
        <w:footnoteRef/>
      </w:r>
      <w:r w:rsidRPr="00432C73">
        <w:rPr>
          <w:lang w:val="el-GR"/>
        </w:rPr>
        <w:t xml:space="preserve"> </w:t>
      </w:r>
      <w:bookmarkStart w:id="58" w:name="_Hlk84854438"/>
      <w:r>
        <w:rPr>
          <w:lang w:val="el-GR"/>
        </w:rPr>
        <w:t xml:space="preserve">Τα ποσά είναι σε χιλιάδες </w:t>
      </w:r>
      <w:r w:rsidRPr="00432C73">
        <w:rPr>
          <w:lang w:val="el-GR"/>
        </w:rPr>
        <w:t>€</w:t>
      </w:r>
      <w:r>
        <w:rPr>
          <w:lang w:val="el-GR"/>
        </w:rPr>
        <w:t>.</w:t>
      </w:r>
      <w:bookmarkEnd w:id="58"/>
    </w:p>
  </w:footnote>
  <w:footnote w:id="8">
    <w:p w14:paraId="7DD65EF9" w14:textId="77777777" w:rsidR="008D791C" w:rsidRPr="00F13F6B" w:rsidRDefault="008D791C" w:rsidP="008275EC">
      <w:pPr>
        <w:pStyle w:val="af5"/>
        <w:jc w:val="both"/>
        <w:rPr>
          <w:lang w:val="el-GR"/>
        </w:rPr>
      </w:pPr>
      <w:r>
        <w:rPr>
          <w:rStyle w:val="af6"/>
        </w:rPr>
        <w:footnoteRef/>
      </w:r>
      <w:r w:rsidRPr="00F13F6B">
        <w:rPr>
          <w:lang w:val="el-GR"/>
        </w:rPr>
        <w:t xml:space="preserve"> </w:t>
      </w:r>
      <w:r>
        <w:rPr>
          <w:lang w:val="el-GR"/>
        </w:rPr>
        <w:t>Και πολύ χαμηλά από την ανεκτή τιμή του 5%.</w:t>
      </w:r>
    </w:p>
  </w:footnote>
  <w:footnote w:id="9">
    <w:p w14:paraId="24068307" w14:textId="77777777" w:rsidR="008D791C" w:rsidRPr="00DA0CEE" w:rsidRDefault="008D791C" w:rsidP="008275EC">
      <w:pPr>
        <w:pStyle w:val="af5"/>
        <w:jc w:val="both"/>
        <w:rPr>
          <w:lang w:val="el-GR"/>
        </w:rPr>
      </w:pPr>
      <w:r>
        <w:rPr>
          <w:rStyle w:val="af6"/>
        </w:rPr>
        <w:footnoteRef/>
      </w:r>
      <w:r w:rsidRPr="00DA0CEE">
        <w:rPr>
          <w:lang w:val="el-GR"/>
        </w:rPr>
        <w:t xml:space="preserve"> </w:t>
      </w:r>
      <w:bookmarkStart w:id="68" w:name="_Hlk84930654"/>
      <w:r w:rsidRPr="00DA0CEE">
        <w:rPr>
          <w:lang w:val="el-GR"/>
        </w:rPr>
        <w:t>Τα ποσά είναι σε χιλιάδες €.</w:t>
      </w:r>
      <w:bookmarkEnd w:id="68"/>
    </w:p>
  </w:footnote>
  <w:footnote w:id="10">
    <w:p w14:paraId="28DD64CF" w14:textId="77777777" w:rsidR="008D791C" w:rsidRPr="00F13F6B" w:rsidRDefault="008D791C" w:rsidP="008275EC">
      <w:pPr>
        <w:pStyle w:val="af5"/>
        <w:jc w:val="both"/>
        <w:rPr>
          <w:lang w:val="el-GR"/>
        </w:rPr>
      </w:pPr>
      <w:r>
        <w:rPr>
          <w:rStyle w:val="af6"/>
        </w:rPr>
        <w:footnoteRef/>
      </w:r>
      <w:r w:rsidRPr="00F13F6B">
        <w:rPr>
          <w:lang w:val="el-GR"/>
        </w:rPr>
        <w:t xml:space="preserve"> </w:t>
      </w:r>
      <w:r>
        <w:rPr>
          <w:lang w:val="el-GR"/>
        </w:rPr>
        <w:t>Και πολύ χαμηλά από την ανεκτή τιμή του 5%.</w:t>
      </w:r>
    </w:p>
  </w:footnote>
  <w:footnote w:id="11">
    <w:p w14:paraId="507114B1" w14:textId="77777777" w:rsidR="008D791C" w:rsidRPr="0060141A" w:rsidRDefault="008D791C" w:rsidP="008275EC">
      <w:pPr>
        <w:pStyle w:val="af5"/>
        <w:jc w:val="both"/>
        <w:rPr>
          <w:lang w:val="el-GR"/>
        </w:rPr>
      </w:pPr>
      <w:r>
        <w:rPr>
          <w:rStyle w:val="af6"/>
        </w:rPr>
        <w:footnoteRef/>
      </w:r>
      <w:r w:rsidRPr="0060141A">
        <w:rPr>
          <w:lang w:val="el-GR"/>
        </w:rPr>
        <w:t xml:space="preserve"> </w:t>
      </w:r>
      <w:r>
        <w:rPr>
          <w:lang w:val="el-GR"/>
        </w:rPr>
        <w:t>Το 2012 δεν το υπολογίζουμε, καθώς θεωρείται ακραία τιμή (220%).</w:t>
      </w:r>
    </w:p>
  </w:footnote>
  <w:footnote w:id="12">
    <w:p w14:paraId="1D33ACAF" w14:textId="77777777" w:rsidR="008D791C" w:rsidRPr="00BE55C2" w:rsidRDefault="008D791C" w:rsidP="008275EC">
      <w:pPr>
        <w:pStyle w:val="af5"/>
        <w:jc w:val="both"/>
        <w:rPr>
          <w:lang w:val="el-GR"/>
        </w:rPr>
      </w:pPr>
      <w:r w:rsidRPr="00BE55C2">
        <w:rPr>
          <w:rStyle w:val="af6"/>
        </w:rPr>
        <w:footnoteRef/>
      </w:r>
      <w:r w:rsidRPr="00BE55C2">
        <w:rPr>
          <w:lang w:val="el-GR"/>
        </w:rPr>
        <w:t xml:space="preserve"> Το 2013 ήταν η χρονιά που έκανε τις περισσότερες εξαγορές.</w:t>
      </w:r>
    </w:p>
  </w:footnote>
  <w:footnote w:id="13">
    <w:p w14:paraId="62747C01" w14:textId="77777777" w:rsidR="008D791C" w:rsidRPr="00BE55C2" w:rsidRDefault="008D791C" w:rsidP="008275EC">
      <w:pPr>
        <w:pStyle w:val="af5"/>
        <w:jc w:val="both"/>
        <w:rPr>
          <w:lang w:val="el-GR"/>
        </w:rPr>
      </w:pPr>
      <w:r w:rsidRPr="00BE55C2">
        <w:rPr>
          <w:rStyle w:val="af6"/>
        </w:rPr>
        <w:footnoteRef/>
      </w:r>
      <w:r w:rsidRPr="00BE55C2">
        <w:rPr>
          <w:lang w:val="el-GR"/>
        </w:rPr>
        <w:t xml:space="preserve"> Τα ποσά είναι σε χιλιάδες €.</w:t>
      </w:r>
    </w:p>
  </w:footnote>
  <w:footnote w:id="14">
    <w:p w14:paraId="29C628AD" w14:textId="77777777" w:rsidR="008D791C" w:rsidRPr="0060141A" w:rsidRDefault="008D791C" w:rsidP="008275EC">
      <w:pPr>
        <w:pStyle w:val="af5"/>
        <w:jc w:val="both"/>
        <w:rPr>
          <w:lang w:val="el-GR"/>
        </w:rPr>
      </w:pPr>
      <w:r>
        <w:rPr>
          <w:rStyle w:val="af6"/>
        </w:rPr>
        <w:footnoteRef/>
      </w:r>
      <w:r w:rsidRPr="0060141A">
        <w:rPr>
          <w:lang w:val="el-GR"/>
        </w:rPr>
        <w:t xml:space="preserve"> </w:t>
      </w:r>
      <w:r>
        <w:rPr>
          <w:lang w:val="el-GR"/>
        </w:rPr>
        <w:t>Το 2011 δεν το υπολογίζουμε, καθώς θεωρείται ακραία τιμή.</w:t>
      </w:r>
    </w:p>
  </w:footnote>
  <w:footnote w:id="15">
    <w:p w14:paraId="3213476B" w14:textId="77777777" w:rsidR="008D791C" w:rsidRPr="00825347" w:rsidRDefault="008D791C" w:rsidP="008275EC">
      <w:pPr>
        <w:pStyle w:val="af5"/>
        <w:jc w:val="both"/>
        <w:rPr>
          <w:lang w:val="el-GR"/>
        </w:rPr>
      </w:pPr>
      <w:r>
        <w:rPr>
          <w:rStyle w:val="af6"/>
        </w:rPr>
        <w:footnoteRef/>
      </w:r>
      <w:r w:rsidRPr="00825347">
        <w:rPr>
          <w:lang w:val="el-GR"/>
        </w:rPr>
        <w:t xml:space="preserve"> Τα ποσά είναι σε χιλιάδες €.</w:t>
      </w:r>
    </w:p>
  </w:footnote>
  <w:footnote w:id="16">
    <w:p w14:paraId="32B84843" w14:textId="5F04DF81" w:rsidR="008D791C" w:rsidRPr="00DF7258" w:rsidRDefault="008D791C" w:rsidP="00DF7258">
      <w:pPr>
        <w:pStyle w:val="af5"/>
        <w:jc w:val="both"/>
        <w:rPr>
          <w:lang w:val="el-GR"/>
        </w:rPr>
      </w:pPr>
      <w:r>
        <w:rPr>
          <w:rStyle w:val="af6"/>
        </w:rPr>
        <w:footnoteRef/>
      </w:r>
      <w:r w:rsidRPr="00DF7258">
        <w:rPr>
          <w:lang w:val="el-GR"/>
        </w:rPr>
        <w:t xml:space="preserve"> </w:t>
      </w:r>
      <w:r>
        <w:rPr>
          <w:lang w:val="el-GR"/>
        </w:rPr>
        <w:t>(*) - στατιστικά σημαντικό σε επίπεδο σημαντικότητας 5% (επίπεδο σημαντικότητας 95%)/ (**) - στατιστικά σημαντικό σε επίπεδο σημαντικότητας 1% (επίπεδο σημαντικότητας 99%).</w:t>
      </w:r>
    </w:p>
  </w:footnote>
  <w:footnote w:id="17">
    <w:p w14:paraId="28A7B428" w14:textId="77777777" w:rsidR="008D791C" w:rsidRPr="009B6713" w:rsidRDefault="008D791C" w:rsidP="008275EC">
      <w:pPr>
        <w:pStyle w:val="af5"/>
        <w:jc w:val="both"/>
        <w:rPr>
          <w:lang w:val="el-GR"/>
        </w:rPr>
      </w:pPr>
      <w:r>
        <w:rPr>
          <w:rStyle w:val="af6"/>
        </w:rPr>
        <w:footnoteRef/>
      </w:r>
      <w:r w:rsidRPr="009B6713">
        <w:rPr>
          <w:lang w:val="el-GR"/>
        </w:rPr>
        <w:t xml:space="preserve"> </w:t>
      </w:r>
      <w:r>
        <w:rPr>
          <w:lang w:val="el-GR"/>
        </w:rPr>
        <w:t xml:space="preserve">Η τιμή αυτή βρέθηκε από τον πίνακα </w:t>
      </w:r>
      <w:r>
        <w:t>ANOVA</w:t>
      </w:r>
      <w:r w:rsidRPr="009B6713">
        <w:rPr>
          <w:lang w:val="el-GR"/>
        </w:rPr>
        <w:t>.</w:t>
      </w:r>
    </w:p>
  </w:footnote>
  <w:footnote w:id="18">
    <w:p w14:paraId="44B725AB" w14:textId="77777777" w:rsidR="008D791C" w:rsidRPr="00873F7A" w:rsidRDefault="008D791C" w:rsidP="008275EC">
      <w:pPr>
        <w:pStyle w:val="af5"/>
        <w:jc w:val="both"/>
        <w:rPr>
          <w:lang w:val="el-GR"/>
        </w:rPr>
      </w:pPr>
      <w:r>
        <w:rPr>
          <w:rStyle w:val="af6"/>
        </w:rPr>
        <w:footnoteRef/>
      </w:r>
      <w:r w:rsidRPr="00873F7A">
        <w:rPr>
          <w:lang w:val="el-GR"/>
        </w:rPr>
        <w:t xml:space="preserve"> </w:t>
      </w:r>
      <w:r>
        <w:rPr>
          <w:lang w:val="el-GR"/>
        </w:rPr>
        <w:t xml:space="preserve">Και η τιμή αυτή βρέθηκε από τον πίνακα </w:t>
      </w:r>
      <w:r>
        <w:t>ANOVA</w:t>
      </w:r>
      <w:r w:rsidRPr="009B6713">
        <w:rPr>
          <w:lang w:val="el-GR"/>
        </w:rPr>
        <w:t>.</w:t>
      </w:r>
    </w:p>
  </w:footnote>
  <w:footnote w:id="19">
    <w:p w14:paraId="1D13394A" w14:textId="3B17063F" w:rsidR="008D791C" w:rsidRPr="00DF7258" w:rsidRDefault="008D791C" w:rsidP="00921AD8">
      <w:pPr>
        <w:pStyle w:val="af5"/>
        <w:jc w:val="both"/>
        <w:rPr>
          <w:lang w:val="el-GR"/>
        </w:rPr>
      </w:pPr>
      <w:r>
        <w:rPr>
          <w:rStyle w:val="af6"/>
        </w:rPr>
        <w:footnoteRef/>
      </w:r>
      <w:r w:rsidRPr="00DF7258">
        <w:rPr>
          <w:lang w:val="el-GR"/>
        </w:rPr>
        <w:t xml:space="preserve"> </w:t>
      </w:r>
      <w:r>
        <w:rPr>
          <w:lang w:val="el-GR"/>
        </w:rPr>
        <w:t>(*) - στατιστικά σημαντικό σε επίπεδο σημαντικότητας 5% (επίπεδο σημαντικότητας 95%)/ (**) - στατιστικά σημαντικό σε επίπεδο σημαντικότητας 1% (επίπεδο σημαντικότητας 99%)/ %)/ (***) - στατιστικά σημαντικό σε επίπεδο σημαντικότητας 10% (επίπεδο σημαντικότητας 90%).</w:t>
      </w:r>
    </w:p>
  </w:footnote>
  <w:footnote w:id="20">
    <w:p w14:paraId="233E3480" w14:textId="77777777" w:rsidR="008D791C" w:rsidRPr="00DF7258" w:rsidRDefault="008D791C" w:rsidP="00E2183F">
      <w:pPr>
        <w:pStyle w:val="af5"/>
        <w:jc w:val="both"/>
        <w:rPr>
          <w:lang w:val="el-GR"/>
        </w:rPr>
      </w:pPr>
      <w:r>
        <w:rPr>
          <w:rStyle w:val="af6"/>
        </w:rPr>
        <w:footnoteRef/>
      </w:r>
      <w:r w:rsidRPr="00DF7258">
        <w:rPr>
          <w:lang w:val="el-GR"/>
        </w:rPr>
        <w:t xml:space="preserve"> </w:t>
      </w:r>
      <w:r>
        <w:rPr>
          <w:lang w:val="el-GR"/>
        </w:rPr>
        <w:t>(*) - στατιστικά σημαντικό σε επίπεδο σημαντικότητας 5% (επίπεδο σημαντικότητας 95%)/ (**) - στατιστικά σημαντικό σε επίπεδο σημαντικότητας 1% (επίπεδο σημαντικότητας 99%)/ %)/ (***) - στατιστικά σημαντικό σε επίπεδο σημαντικότητας 10% (επίπεδο σημαντικότητας 90%).</w:t>
      </w:r>
    </w:p>
  </w:footnote>
  <w:footnote w:id="21">
    <w:p w14:paraId="412CE15F" w14:textId="77777777" w:rsidR="008D791C" w:rsidRPr="00E97281" w:rsidRDefault="008D791C" w:rsidP="008275EC">
      <w:pPr>
        <w:pStyle w:val="af5"/>
        <w:jc w:val="both"/>
        <w:rPr>
          <w:lang w:val="el-GR"/>
        </w:rPr>
      </w:pPr>
      <w:r>
        <w:rPr>
          <w:rStyle w:val="af6"/>
        </w:rPr>
        <w:footnoteRef/>
      </w:r>
      <w:r w:rsidRPr="00E97281">
        <w:rPr>
          <w:lang w:val="el-GR"/>
        </w:rPr>
        <w:t xml:space="preserve"> </w:t>
      </w:r>
      <w:r>
        <w:rPr>
          <w:lang w:val="el-GR"/>
        </w:rPr>
        <w:t>Η Εθνική Τράπεζα της Ελλάδος είναι ο οργανισμός με το μεγαλύτερο σύνολο ενεργητικού, τόσο κατά το 2020 όσο και κατά το 2005.</w:t>
      </w:r>
    </w:p>
  </w:footnote>
  <w:footnote w:id="22">
    <w:p w14:paraId="71CEC197" w14:textId="77777777" w:rsidR="008D791C" w:rsidRPr="00F62D24" w:rsidRDefault="008D791C" w:rsidP="008275EC">
      <w:pPr>
        <w:pStyle w:val="af5"/>
        <w:jc w:val="both"/>
        <w:rPr>
          <w:lang w:val="el-GR"/>
        </w:rPr>
      </w:pPr>
      <w:r>
        <w:rPr>
          <w:rStyle w:val="af6"/>
        </w:rPr>
        <w:footnoteRef/>
      </w:r>
      <w:r w:rsidRPr="00F62D24">
        <w:rPr>
          <w:lang w:val="el-GR"/>
        </w:rPr>
        <w:t xml:space="preserve"> </w:t>
      </w:r>
      <w:r>
        <w:rPr>
          <w:lang w:val="el-GR"/>
        </w:rPr>
        <w:t xml:space="preserve">Η </w:t>
      </w:r>
      <w:r>
        <w:t>Alpha</w:t>
      </w:r>
      <w:r w:rsidRPr="00F62D24">
        <w:rPr>
          <w:lang w:val="el-GR"/>
        </w:rPr>
        <w:t xml:space="preserve"> </w:t>
      </w:r>
      <w:r>
        <w:t>Bank</w:t>
      </w:r>
      <w:r w:rsidRPr="00F62D24">
        <w:rPr>
          <w:lang w:val="el-GR"/>
        </w:rPr>
        <w:t xml:space="preserve"> </w:t>
      </w:r>
      <w:r>
        <w:rPr>
          <w:lang w:val="el-GR"/>
        </w:rPr>
        <w:t>συνέχισε να έχει κέρδη έως το 2020.</w:t>
      </w:r>
    </w:p>
  </w:footnote>
  <w:footnote w:id="23">
    <w:p w14:paraId="23E5B405" w14:textId="77777777" w:rsidR="008D791C" w:rsidRPr="00884D85" w:rsidRDefault="008D791C" w:rsidP="008275EC">
      <w:pPr>
        <w:pStyle w:val="af5"/>
        <w:jc w:val="both"/>
        <w:rPr>
          <w:lang w:val="el-GR"/>
        </w:rPr>
      </w:pPr>
      <w:r>
        <w:rPr>
          <w:rStyle w:val="af6"/>
        </w:rPr>
        <w:footnoteRef/>
      </w:r>
      <w:r w:rsidRPr="00884D85">
        <w:rPr>
          <w:lang w:val="el-GR"/>
        </w:rPr>
        <w:t xml:space="preserve"> </w:t>
      </w:r>
      <w:r>
        <w:rPr>
          <w:lang w:val="el-GR"/>
        </w:rPr>
        <w:t>Μια χρονιά πριν ξεκινήσει η εν λόγω έρευνα.</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9928124"/>
      <w:docPartObj>
        <w:docPartGallery w:val="Page Numbers (Top of Page)"/>
        <w:docPartUnique/>
      </w:docPartObj>
    </w:sdtPr>
    <w:sdtEndPr>
      <w:rPr>
        <w:noProof/>
      </w:rPr>
    </w:sdtEndPr>
    <w:sdtContent>
      <w:p w14:paraId="2136C716" w14:textId="77777777" w:rsidR="008D791C" w:rsidRDefault="008D791C" w:rsidP="004D78F0">
        <w:pPr>
          <w:pStyle w:val="a4"/>
          <w:jc w:val="left"/>
        </w:pPr>
        <w:r>
          <w:rPr>
            <w:lang w:val="el-GR"/>
          </w:rPr>
          <w:tab/>
        </w:r>
        <w:r>
          <w:rPr>
            <w:lang w:val="el-GR"/>
          </w:rPr>
          <w:tab/>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8B79DF" w14:textId="77777777" w:rsidR="008D791C" w:rsidRPr="001D5854" w:rsidRDefault="008D791C" w:rsidP="001D585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A5E2ED2"/>
    <w:lvl w:ilvl="0">
      <w:start w:val="1"/>
      <w:numFmt w:val="decimal"/>
      <w:lvlText w:val="%1."/>
      <w:lvlJc w:val="left"/>
      <w:pPr>
        <w:tabs>
          <w:tab w:val="num" w:pos="1800"/>
        </w:tabs>
        <w:ind w:left="1800" w:hanging="360"/>
      </w:pPr>
    </w:lvl>
  </w:abstractNum>
  <w:abstractNum w:abstractNumId="1">
    <w:nsid w:val="FFFFFF7D"/>
    <w:multiLevelType w:val="singleLevel"/>
    <w:tmpl w:val="E07A3CB2"/>
    <w:lvl w:ilvl="0">
      <w:start w:val="1"/>
      <w:numFmt w:val="decimal"/>
      <w:lvlText w:val="%1."/>
      <w:lvlJc w:val="left"/>
      <w:pPr>
        <w:tabs>
          <w:tab w:val="num" w:pos="1440"/>
        </w:tabs>
        <w:ind w:left="1440" w:hanging="360"/>
      </w:pPr>
    </w:lvl>
  </w:abstractNum>
  <w:abstractNum w:abstractNumId="2">
    <w:nsid w:val="FFFFFF7E"/>
    <w:multiLevelType w:val="singleLevel"/>
    <w:tmpl w:val="A2EE0CA8"/>
    <w:lvl w:ilvl="0">
      <w:start w:val="1"/>
      <w:numFmt w:val="decimal"/>
      <w:lvlText w:val="%1."/>
      <w:lvlJc w:val="left"/>
      <w:pPr>
        <w:tabs>
          <w:tab w:val="num" w:pos="1080"/>
        </w:tabs>
        <w:ind w:left="1080" w:hanging="360"/>
      </w:pPr>
    </w:lvl>
  </w:abstractNum>
  <w:abstractNum w:abstractNumId="3">
    <w:nsid w:val="FFFFFF7F"/>
    <w:multiLevelType w:val="singleLevel"/>
    <w:tmpl w:val="D414B588"/>
    <w:lvl w:ilvl="0">
      <w:start w:val="1"/>
      <w:numFmt w:val="decimal"/>
      <w:lvlText w:val="%1."/>
      <w:lvlJc w:val="left"/>
      <w:pPr>
        <w:tabs>
          <w:tab w:val="num" w:pos="720"/>
        </w:tabs>
        <w:ind w:left="720" w:hanging="360"/>
      </w:pPr>
    </w:lvl>
  </w:abstractNum>
  <w:abstractNum w:abstractNumId="4">
    <w:nsid w:val="FFFFFF80"/>
    <w:multiLevelType w:val="singleLevel"/>
    <w:tmpl w:val="F6AE0B3C"/>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7150A608"/>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EB62B306"/>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42C29BEA"/>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FE861FD2"/>
    <w:lvl w:ilvl="0">
      <w:start w:val="1"/>
      <w:numFmt w:val="decimal"/>
      <w:lvlText w:val="%1."/>
      <w:lvlJc w:val="left"/>
      <w:pPr>
        <w:tabs>
          <w:tab w:val="num" w:pos="360"/>
        </w:tabs>
        <w:ind w:left="360" w:hanging="360"/>
      </w:pPr>
    </w:lvl>
  </w:abstractNum>
  <w:abstractNum w:abstractNumId="9">
    <w:nsid w:val="FFFFFF89"/>
    <w:multiLevelType w:val="singleLevel"/>
    <w:tmpl w:val="066A8E08"/>
    <w:lvl w:ilvl="0">
      <w:start w:val="1"/>
      <w:numFmt w:val="bullet"/>
      <w:lvlText w:val=""/>
      <w:lvlJc w:val="left"/>
      <w:pPr>
        <w:tabs>
          <w:tab w:val="num" w:pos="360"/>
        </w:tabs>
        <w:ind w:left="360" w:hanging="360"/>
      </w:pPr>
      <w:rPr>
        <w:rFonts w:ascii="Symbol" w:hAnsi="Symbol" w:hint="default"/>
      </w:rPr>
    </w:lvl>
  </w:abstractNum>
  <w:abstractNum w:abstractNumId="10">
    <w:nsid w:val="0031001F"/>
    <w:multiLevelType w:val="hybridMultilevel"/>
    <w:tmpl w:val="88767B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04C932A2"/>
    <w:multiLevelType w:val="hybridMultilevel"/>
    <w:tmpl w:val="5590029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3F81C09"/>
    <w:multiLevelType w:val="hybridMultilevel"/>
    <w:tmpl w:val="0D4C5E0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16E786B"/>
    <w:multiLevelType w:val="hybridMultilevel"/>
    <w:tmpl w:val="591869BC"/>
    <w:lvl w:ilvl="0" w:tplc="35EC0C4E">
      <w:start w:val="1"/>
      <w:numFmt w:val="upperRoman"/>
      <w:lvlText w:val="%1."/>
      <w:lvlJc w:val="right"/>
      <w:pPr>
        <w:ind w:left="1440" w:hanging="360"/>
      </w:pPr>
      <w:rPr>
        <w:rFonts w:hint="default"/>
        <w:b/>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3D8D7869"/>
    <w:multiLevelType w:val="hybridMultilevel"/>
    <w:tmpl w:val="6448B9E2"/>
    <w:lvl w:ilvl="0" w:tplc="0409000D">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5">
    <w:nsid w:val="3DD67E36"/>
    <w:multiLevelType w:val="hybridMultilevel"/>
    <w:tmpl w:val="8482F62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4C6B7628"/>
    <w:multiLevelType w:val="hybridMultilevel"/>
    <w:tmpl w:val="5FB40FA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514A5ABF"/>
    <w:multiLevelType w:val="hybridMultilevel"/>
    <w:tmpl w:val="1166D482"/>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nsid w:val="56820DB3"/>
    <w:multiLevelType w:val="hybridMultilevel"/>
    <w:tmpl w:val="CDEA3F04"/>
    <w:lvl w:ilvl="0" w:tplc="DC8EBE14">
      <w:start w:val="1"/>
      <w:numFmt w:val="decimal"/>
      <w:pStyle w:val="Numberedlist"/>
      <w:lvlText w:val="%1."/>
      <w:lvlJc w:val="left"/>
      <w:pPr>
        <w:tabs>
          <w:tab w:val="num" w:pos="900"/>
        </w:tabs>
        <w:ind w:left="900" w:hanging="360"/>
      </w:pPr>
      <w:rPr>
        <w:rFonts w:hint="default"/>
        <w:lang w:val="el-GR"/>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9">
    <w:nsid w:val="56C50F10"/>
    <w:multiLevelType w:val="hybridMultilevel"/>
    <w:tmpl w:val="09147FA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74610702"/>
    <w:multiLevelType w:val="hybridMultilevel"/>
    <w:tmpl w:val="27E60BB0"/>
    <w:lvl w:ilvl="0" w:tplc="0409000F">
      <w:start w:val="1"/>
      <w:numFmt w:val="decimal"/>
      <w:lvlText w:val="%1."/>
      <w:lvlJc w:val="left"/>
      <w:pPr>
        <w:tabs>
          <w:tab w:val="num" w:pos="1260"/>
        </w:tabs>
        <w:ind w:left="1260" w:hanging="360"/>
      </w:p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20"/>
  </w:num>
  <w:num w:numId="12">
    <w:abstractNumId w:val="18"/>
  </w:num>
  <w:num w:numId="13">
    <w:abstractNumId w:val="13"/>
  </w:num>
  <w:num w:numId="14">
    <w:abstractNumId w:val="11"/>
  </w:num>
  <w:num w:numId="15">
    <w:abstractNumId w:val="10"/>
  </w:num>
  <w:num w:numId="16">
    <w:abstractNumId w:val="19"/>
  </w:num>
  <w:num w:numId="17">
    <w:abstractNumId w:val="15"/>
  </w:num>
  <w:num w:numId="18">
    <w:abstractNumId w:val="16"/>
  </w:num>
  <w:num w:numId="19">
    <w:abstractNumId w:val="12"/>
  </w:num>
  <w:num w:numId="20">
    <w:abstractNumId w:val="14"/>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attachedTemplate r:id="rId1"/>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documentProtection w:formatting="1" w:enforcement="0"/>
  <w:defaultTabStop w:val="720"/>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3819"/>
    <w:rsid w:val="00001329"/>
    <w:rsid w:val="000070C2"/>
    <w:rsid w:val="00010767"/>
    <w:rsid w:val="00014CD5"/>
    <w:rsid w:val="00017965"/>
    <w:rsid w:val="00030AE4"/>
    <w:rsid w:val="00030CC3"/>
    <w:rsid w:val="000411FA"/>
    <w:rsid w:val="000527B5"/>
    <w:rsid w:val="0005557E"/>
    <w:rsid w:val="00083425"/>
    <w:rsid w:val="000A61EE"/>
    <w:rsid w:val="000C7456"/>
    <w:rsid w:val="000D0644"/>
    <w:rsid w:val="000D3E9A"/>
    <w:rsid w:val="000D4BF4"/>
    <w:rsid w:val="001047B8"/>
    <w:rsid w:val="00123642"/>
    <w:rsid w:val="00142FBA"/>
    <w:rsid w:val="001523AC"/>
    <w:rsid w:val="00152E4A"/>
    <w:rsid w:val="00156D60"/>
    <w:rsid w:val="00171A46"/>
    <w:rsid w:val="00177F36"/>
    <w:rsid w:val="00185FEA"/>
    <w:rsid w:val="001A01A7"/>
    <w:rsid w:val="001A19C7"/>
    <w:rsid w:val="001B0BAE"/>
    <w:rsid w:val="001C21B9"/>
    <w:rsid w:val="001D241B"/>
    <w:rsid w:val="001D5854"/>
    <w:rsid w:val="001E5799"/>
    <w:rsid w:val="001F2118"/>
    <w:rsid w:val="001F406B"/>
    <w:rsid w:val="00200FC9"/>
    <w:rsid w:val="002210E3"/>
    <w:rsid w:val="00245119"/>
    <w:rsid w:val="002454E1"/>
    <w:rsid w:val="002C56FE"/>
    <w:rsid w:val="002C693F"/>
    <w:rsid w:val="002E7AE8"/>
    <w:rsid w:val="003138A2"/>
    <w:rsid w:val="003424BD"/>
    <w:rsid w:val="00350BFF"/>
    <w:rsid w:val="00356A98"/>
    <w:rsid w:val="0037299C"/>
    <w:rsid w:val="00381A5C"/>
    <w:rsid w:val="003C1EDE"/>
    <w:rsid w:val="003C3FF1"/>
    <w:rsid w:val="003D2405"/>
    <w:rsid w:val="003E560E"/>
    <w:rsid w:val="003E6442"/>
    <w:rsid w:val="003F73DB"/>
    <w:rsid w:val="00400A5A"/>
    <w:rsid w:val="00412E42"/>
    <w:rsid w:val="00435414"/>
    <w:rsid w:val="0043755A"/>
    <w:rsid w:val="00442661"/>
    <w:rsid w:val="00443BD8"/>
    <w:rsid w:val="00445055"/>
    <w:rsid w:val="004622F2"/>
    <w:rsid w:val="00467A77"/>
    <w:rsid w:val="00472ED6"/>
    <w:rsid w:val="004847F5"/>
    <w:rsid w:val="004872B2"/>
    <w:rsid w:val="004B238A"/>
    <w:rsid w:val="004C6CCB"/>
    <w:rsid w:val="004D78F0"/>
    <w:rsid w:val="004F19A4"/>
    <w:rsid w:val="00504D5B"/>
    <w:rsid w:val="00510D7C"/>
    <w:rsid w:val="00525AF5"/>
    <w:rsid w:val="00537DB0"/>
    <w:rsid w:val="00545D68"/>
    <w:rsid w:val="00551752"/>
    <w:rsid w:val="0056487C"/>
    <w:rsid w:val="00572052"/>
    <w:rsid w:val="00584864"/>
    <w:rsid w:val="00587A5C"/>
    <w:rsid w:val="005935CF"/>
    <w:rsid w:val="005A5D37"/>
    <w:rsid w:val="005A7462"/>
    <w:rsid w:val="005B1808"/>
    <w:rsid w:val="005C786F"/>
    <w:rsid w:val="005D3399"/>
    <w:rsid w:val="005E36AE"/>
    <w:rsid w:val="005F705A"/>
    <w:rsid w:val="00615C9C"/>
    <w:rsid w:val="00622082"/>
    <w:rsid w:val="00631006"/>
    <w:rsid w:val="00661BE3"/>
    <w:rsid w:val="0067664B"/>
    <w:rsid w:val="00694526"/>
    <w:rsid w:val="00696D02"/>
    <w:rsid w:val="006C3BEF"/>
    <w:rsid w:val="006D4900"/>
    <w:rsid w:val="006D550B"/>
    <w:rsid w:val="006F3937"/>
    <w:rsid w:val="006F5309"/>
    <w:rsid w:val="00735691"/>
    <w:rsid w:val="0074224B"/>
    <w:rsid w:val="00776C13"/>
    <w:rsid w:val="007868BB"/>
    <w:rsid w:val="007970B2"/>
    <w:rsid w:val="007A346C"/>
    <w:rsid w:val="007B227E"/>
    <w:rsid w:val="007B79BD"/>
    <w:rsid w:val="007F3645"/>
    <w:rsid w:val="007F6247"/>
    <w:rsid w:val="00810F7B"/>
    <w:rsid w:val="0082514D"/>
    <w:rsid w:val="008275EC"/>
    <w:rsid w:val="00841908"/>
    <w:rsid w:val="0084609F"/>
    <w:rsid w:val="00850BBE"/>
    <w:rsid w:val="00891514"/>
    <w:rsid w:val="008A04E1"/>
    <w:rsid w:val="008A382D"/>
    <w:rsid w:val="008D791C"/>
    <w:rsid w:val="00902A3E"/>
    <w:rsid w:val="009132C5"/>
    <w:rsid w:val="00921AD8"/>
    <w:rsid w:val="00921DD1"/>
    <w:rsid w:val="00922703"/>
    <w:rsid w:val="009266F1"/>
    <w:rsid w:val="00954066"/>
    <w:rsid w:val="00967E81"/>
    <w:rsid w:val="009728C9"/>
    <w:rsid w:val="0098248D"/>
    <w:rsid w:val="00997B62"/>
    <w:rsid w:val="009B198A"/>
    <w:rsid w:val="009D49CF"/>
    <w:rsid w:val="009D7D49"/>
    <w:rsid w:val="009F2171"/>
    <w:rsid w:val="009F4F73"/>
    <w:rsid w:val="00A01F1A"/>
    <w:rsid w:val="00A320B6"/>
    <w:rsid w:val="00A36793"/>
    <w:rsid w:val="00A409FE"/>
    <w:rsid w:val="00A419F9"/>
    <w:rsid w:val="00A54E47"/>
    <w:rsid w:val="00AA319C"/>
    <w:rsid w:val="00AE35AA"/>
    <w:rsid w:val="00AF35D7"/>
    <w:rsid w:val="00AF6144"/>
    <w:rsid w:val="00B00805"/>
    <w:rsid w:val="00B00811"/>
    <w:rsid w:val="00B02A3A"/>
    <w:rsid w:val="00B13707"/>
    <w:rsid w:val="00B31132"/>
    <w:rsid w:val="00B34F09"/>
    <w:rsid w:val="00B454B7"/>
    <w:rsid w:val="00B56971"/>
    <w:rsid w:val="00B71A84"/>
    <w:rsid w:val="00B71D10"/>
    <w:rsid w:val="00B73D10"/>
    <w:rsid w:val="00B80A2E"/>
    <w:rsid w:val="00B85A71"/>
    <w:rsid w:val="00B86521"/>
    <w:rsid w:val="00B906E0"/>
    <w:rsid w:val="00B94611"/>
    <w:rsid w:val="00B96D6C"/>
    <w:rsid w:val="00BA003F"/>
    <w:rsid w:val="00BC0097"/>
    <w:rsid w:val="00BC2F00"/>
    <w:rsid w:val="00BD24F7"/>
    <w:rsid w:val="00BD32E5"/>
    <w:rsid w:val="00BD6E63"/>
    <w:rsid w:val="00BE3001"/>
    <w:rsid w:val="00BF72D1"/>
    <w:rsid w:val="00C04D89"/>
    <w:rsid w:val="00C06FBA"/>
    <w:rsid w:val="00C142B2"/>
    <w:rsid w:val="00C200B1"/>
    <w:rsid w:val="00C33FE5"/>
    <w:rsid w:val="00C40889"/>
    <w:rsid w:val="00C57997"/>
    <w:rsid w:val="00C96E92"/>
    <w:rsid w:val="00CF5205"/>
    <w:rsid w:val="00D07A65"/>
    <w:rsid w:val="00D109E1"/>
    <w:rsid w:val="00D30596"/>
    <w:rsid w:val="00D31601"/>
    <w:rsid w:val="00D35BEF"/>
    <w:rsid w:val="00D402A5"/>
    <w:rsid w:val="00D407D6"/>
    <w:rsid w:val="00D54CB8"/>
    <w:rsid w:val="00D576EB"/>
    <w:rsid w:val="00D81942"/>
    <w:rsid w:val="00D84363"/>
    <w:rsid w:val="00D848EE"/>
    <w:rsid w:val="00D86C58"/>
    <w:rsid w:val="00DA1077"/>
    <w:rsid w:val="00DB3D7C"/>
    <w:rsid w:val="00DB5FE8"/>
    <w:rsid w:val="00DC22B1"/>
    <w:rsid w:val="00DD7027"/>
    <w:rsid w:val="00DE23D7"/>
    <w:rsid w:val="00DF7258"/>
    <w:rsid w:val="00E02818"/>
    <w:rsid w:val="00E116F7"/>
    <w:rsid w:val="00E2183F"/>
    <w:rsid w:val="00E247F6"/>
    <w:rsid w:val="00E36C0B"/>
    <w:rsid w:val="00E37072"/>
    <w:rsid w:val="00E3736C"/>
    <w:rsid w:val="00E40F15"/>
    <w:rsid w:val="00E558B7"/>
    <w:rsid w:val="00E83B51"/>
    <w:rsid w:val="00E911A3"/>
    <w:rsid w:val="00E91511"/>
    <w:rsid w:val="00E945C3"/>
    <w:rsid w:val="00EA6360"/>
    <w:rsid w:val="00EA705F"/>
    <w:rsid w:val="00EE1F38"/>
    <w:rsid w:val="00EE7A28"/>
    <w:rsid w:val="00EF572D"/>
    <w:rsid w:val="00F00B2E"/>
    <w:rsid w:val="00F070A6"/>
    <w:rsid w:val="00F07D1A"/>
    <w:rsid w:val="00F1704A"/>
    <w:rsid w:val="00F173BD"/>
    <w:rsid w:val="00F45792"/>
    <w:rsid w:val="00F571CA"/>
    <w:rsid w:val="00F6688D"/>
    <w:rsid w:val="00F85B59"/>
    <w:rsid w:val="00F93819"/>
    <w:rsid w:val="00F9620D"/>
    <w:rsid w:val="00FA7F58"/>
    <w:rsid w:val="00FB10C7"/>
    <w:rsid w:val="00FB4EBA"/>
    <w:rsid w:val="00FC087B"/>
    <w:rsid w:val="00FC1A82"/>
    <w:rsid w:val="00FC3511"/>
    <w:rsid w:val="00FC3F0C"/>
    <w:rsid w:val="00FD59DB"/>
    <w:rsid w:val="00FE0BC3"/>
    <w:rsid w:val="00FF31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ED17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imes New Roman" w:hAnsi="Times"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1752"/>
    <w:pPr>
      <w:spacing w:line="360" w:lineRule="auto"/>
      <w:ind w:firstLine="720"/>
      <w:jc w:val="both"/>
    </w:pPr>
    <w:rPr>
      <w:rFonts w:ascii="Times New Roman" w:hAnsi="Times New Roman"/>
      <w:sz w:val="24"/>
    </w:rPr>
  </w:style>
  <w:style w:type="paragraph" w:styleId="1">
    <w:name w:val="heading 1"/>
    <w:basedOn w:val="a"/>
    <w:next w:val="a0"/>
    <w:link w:val="1Char"/>
    <w:autoRedefine/>
    <w:uiPriority w:val="9"/>
    <w:qFormat/>
    <w:rsid w:val="00C57997"/>
    <w:pPr>
      <w:spacing w:line="480" w:lineRule="auto"/>
      <w:ind w:firstLine="0"/>
      <w:jc w:val="center"/>
      <w:outlineLvl w:val="0"/>
    </w:pPr>
    <w:rPr>
      <w:rFonts w:eastAsia="Calibri"/>
      <w:b/>
      <w:bCs/>
      <w:caps/>
      <w:sz w:val="28"/>
      <w:szCs w:val="28"/>
      <w:lang w:val="el-GR"/>
    </w:rPr>
  </w:style>
  <w:style w:type="paragraph" w:styleId="2">
    <w:name w:val="heading 2"/>
    <w:basedOn w:val="a"/>
    <w:next w:val="a"/>
    <w:qFormat/>
    <w:rsid w:val="00DC22B1"/>
    <w:pPr>
      <w:spacing w:before="240"/>
      <w:outlineLvl w:val="1"/>
    </w:pPr>
    <w:rPr>
      <w:b/>
      <w:i/>
    </w:rPr>
  </w:style>
  <w:style w:type="paragraph" w:styleId="3">
    <w:name w:val="heading 3"/>
    <w:basedOn w:val="a"/>
    <w:next w:val="a"/>
    <w:link w:val="3Char"/>
    <w:semiHidden/>
    <w:unhideWhenUsed/>
    <w:qFormat/>
    <w:rsid w:val="00776C13"/>
    <w:pPr>
      <w:keepNext/>
      <w:keepLines/>
      <w:spacing w:before="40"/>
      <w:outlineLvl w:val="2"/>
    </w:pPr>
    <w:rPr>
      <w:rFonts w:asciiTheme="majorHAnsi" w:eastAsiaTheme="majorEastAsia" w:hAnsiTheme="majorHAnsi" w:cstheme="majorBidi"/>
      <w:color w:val="243F60" w:themeColor="accent1" w:themeShade="7F"/>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rsid w:val="00EF572D"/>
    <w:pPr>
      <w:ind w:firstLine="539"/>
    </w:pPr>
  </w:style>
  <w:style w:type="paragraph" w:styleId="a4">
    <w:name w:val="header"/>
    <w:basedOn w:val="a"/>
    <w:link w:val="Char0"/>
    <w:uiPriority w:val="99"/>
    <w:pPr>
      <w:tabs>
        <w:tab w:val="center" w:pos="4320"/>
        <w:tab w:val="right" w:pos="8640"/>
      </w:tabs>
    </w:pPr>
  </w:style>
  <w:style w:type="character" w:styleId="a5">
    <w:name w:val="page number"/>
    <w:basedOn w:val="a1"/>
  </w:style>
  <w:style w:type="character" w:styleId="-">
    <w:name w:val="Hyperlink"/>
    <w:basedOn w:val="a1"/>
    <w:rPr>
      <w:color w:val="0000FF"/>
      <w:u w:val="single"/>
    </w:rPr>
  </w:style>
  <w:style w:type="character" w:customStyle="1" w:styleId="1Char">
    <w:name w:val="Επικεφαλίδα 1 Char"/>
    <w:basedOn w:val="a1"/>
    <w:link w:val="1"/>
    <w:uiPriority w:val="9"/>
    <w:rsid w:val="00C57997"/>
    <w:rPr>
      <w:rFonts w:ascii="Times New Roman" w:eastAsia="Calibri" w:hAnsi="Times New Roman"/>
      <w:b/>
      <w:bCs/>
      <w:caps/>
      <w:sz w:val="28"/>
      <w:szCs w:val="28"/>
      <w:lang w:val="el-GR"/>
    </w:rPr>
  </w:style>
  <w:style w:type="paragraph" w:styleId="a6">
    <w:name w:val="footer"/>
    <w:basedOn w:val="a"/>
    <w:link w:val="Char1"/>
    <w:uiPriority w:val="99"/>
    <w:pPr>
      <w:tabs>
        <w:tab w:val="center" w:pos="4320"/>
        <w:tab w:val="right" w:pos="8640"/>
      </w:tabs>
    </w:pPr>
  </w:style>
  <w:style w:type="paragraph" w:customStyle="1" w:styleId="Numberedlist">
    <w:name w:val="Numbered list"/>
    <w:basedOn w:val="a"/>
    <w:rsid w:val="001D5854"/>
    <w:pPr>
      <w:numPr>
        <w:numId w:val="12"/>
      </w:numPr>
      <w:spacing w:line="480" w:lineRule="auto"/>
    </w:pPr>
  </w:style>
  <w:style w:type="character" w:customStyle="1" w:styleId="Char">
    <w:name w:val="Σώμα κειμένου Char"/>
    <w:basedOn w:val="a1"/>
    <w:link w:val="a0"/>
    <w:rsid w:val="00EF572D"/>
    <w:rPr>
      <w:rFonts w:ascii="Times New Roman" w:hAnsi="Times New Roman"/>
      <w:sz w:val="24"/>
    </w:rPr>
  </w:style>
  <w:style w:type="paragraph" w:styleId="a7">
    <w:name w:val="Block Text"/>
    <w:basedOn w:val="a0"/>
    <w:link w:val="Char2"/>
    <w:rsid w:val="00DB3D7C"/>
    <w:pPr>
      <w:ind w:firstLine="0"/>
    </w:pPr>
  </w:style>
  <w:style w:type="paragraph" w:customStyle="1" w:styleId="Quotation">
    <w:name w:val="Quotation"/>
    <w:basedOn w:val="a0"/>
    <w:rsid w:val="00FA7F58"/>
    <w:pPr>
      <w:ind w:left="547" w:firstLine="0"/>
    </w:pPr>
  </w:style>
  <w:style w:type="character" w:customStyle="1" w:styleId="Char2">
    <w:name w:val="Τμήμα κειμένου Char"/>
    <w:basedOn w:val="Char"/>
    <w:link w:val="a7"/>
    <w:rsid w:val="00FA7F58"/>
    <w:rPr>
      <w:rFonts w:ascii="Times New Roman" w:hAnsi="Times New Roman"/>
      <w:sz w:val="24"/>
      <w:lang w:val="en-US" w:eastAsia="en-US" w:bidi="ar-SA"/>
    </w:rPr>
  </w:style>
  <w:style w:type="paragraph" w:customStyle="1" w:styleId="Reference">
    <w:name w:val="Reference"/>
    <w:basedOn w:val="a0"/>
    <w:rsid w:val="00F00B2E"/>
    <w:pPr>
      <w:ind w:left="547" w:hanging="547"/>
    </w:pPr>
  </w:style>
  <w:style w:type="paragraph" w:styleId="a8">
    <w:name w:val="TOC Heading"/>
    <w:basedOn w:val="1"/>
    <w:next w:val="a"/>
    <w:uiPriority w:val="39"/>
    <w:unhideWhenUsed/>
    <w:qFormat/>
    <w:rsid w:val="00F93819"/>
    <w:pPr>
      <w:keepNext/>
      <w:keepLines/>
      <w:spacing w:before="240" w:line="259" w:lineRule="auto"/>
      <w:jc w:val="left"/>
      <w:outlineLvl w:val="9"/>
    </w:pPr>
    <w:rPr>
      <w:rFonts w:asciiTheme="majorHAnsi" w:eastAsiaTheme="majorEastAsia" w:hAnsiTheme="majorHAnsi" w:cstheme="majorBidi"/>
      <w:color w:val="365F91" w:themeColor="accent1" w:themeShade="BF"/>
      <w:sz w:val="32"/>
      <w:szCs w:val="32"/>
    </w:rPr>
  </w:style>
  <w:style w:type="paragraph" w:styleId="10">
    <w:name w:val="toc 1"/>
    <w:basedOn w:val="a"/>
    <w:next w:val="a"/>
    <w:autoRedefine/>
    <w:uiPriority w:val="39"/>
    <w:unhideWhenUsed/>
    <w:rsid w:val="00D848EE"/>
    <w:pPr>
      <w:framePr w:wrap="around" w:vAnchor="text" w:hAnchor="text" w:y="1"/>
      <w:tabs>
        <w:tab w:val="right" w:leader="dot" w:pos="9017"/>
      </w:tabs>
      <w:spacing w:after="120" w:line="240" w:lineRule="auto"/>
      <w:ind w:firstLine="0"/>
    </w:pPr>
    <w:rPr>
      <w:bCs/>
      <w:caps/>
      <w:szCs w:val="24"/>
      <w:lang w:val="el-GR"/>
    </w:rPr>
  </w:style>
  <w:style w:type="paragraph" w:styleId="20">
    <w:name w:val="toc 2"/>
    <w:basedOn w:val="a"/>
    <w:next w:val="a"/>
    <w:autoRedefine/>
    <w:uiPriority w:val="39"/>
    <w:unhideWhenUsed/>
    <w:rsid w:val="00D848EE"/>
    <w:pPr>
      <w:tabs>
        <w:tab w:val="right" w:leader="dot" w:pos="9017"/>
      </w:tabs>
      <w:spacing w:before="200" w:after="200"/>
      <w:ind w:firstLine="0"/>
    </w:pPr>
    <w:rPr>
      <w:bCs/>
      <w:szCs w:val="24"/>
      <w:lang w:val="el-GR"/>
    </w:rPr>
  </w:style>
  <w:style w:type="character" w:customStyle="1" w:styleId="Char0">
    <w:name w:val="Κεφαλίδα Char"/>
    <w:basedOn w:val="a1"/>
    <w:link w:val="a4"/>
    <w:uiPriority w:val="99"/>
    <w:rsid w:val="007A346C"/>
    <w:rPr>
      <w:rFonts w:ascii="Times New Roman" w:hAnsi="Times New Roman"/>
      <w:sz w:val="24"/>
    </w:rPr>
  </w:style>
  <w:style w:type="paragraph" w:styleId="a9">
    <w:name w:val="Bibliography"/>
    <w:basedOn w:val="a"/>
    <w:next w:val="a"/>
    <w:uiPriority w:val="37"/>
    <w:unhideWhenUsed/>
    <w:rsid w:val="00696D02"/>
  </w:style>
  <w:style w:type="table" w:styleId="aa">
    <w:name w:val="Table Grid"/>
    <w:basedOn w:val="a2"/>
    <w:rsid w:val="00E83B5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1"/>
    <w:qFormat/>
    <w:rsid w:val="001F2118"/>
    <w:rPr>
      <w:rFonts w:ascii="Times New Roman" w:hAnsi="Times New Roman"/>
      <w:i/>
      <w:iCs/>
      <w:sz w:val="24"/>
    </w:rPr>
  </w:style>
  <w:style w:type="character" w:styleId="ac">
    <w:name w:val="Strong"/>
    <w:basedOn w:val="ab"/>
    <w:qFormat/>
    <w:rsid w:val="00F85B59"/>
    <w:rPr>
      <w:rFonts w:ascii="Times New Roman" w:hAnsi="Times New Roman"/>
      <w:b/>
      <w:bCs/>
      <w:i w:val="0"/>
      <w:iCs/>
      <w:caps w:val="0"/>
      <w:smallCaps w:val="0"/>
      <w:color w:val="auto"/>
      <w:sz w:val="24"/>
    </w:rPr>
  </w:style>
  <w:style w:type="paragraph" w:customStyle="1" w:styleId="30">
    <w:name w:val="Επικεφαλίδα_3"/>
    <w:basedOn w:val="1"/>
    <w:next w:val="a0"/>
    <w:rsid w:val="00C06FBA"/>
    <w:rPr>
      <w:b w:val="0"/>
      <w:bCs w:val="0"/>
    </w:rPr>
  </w:style>
  <w:style w:type="paragraph" w:styleId="31">
    <w:name w:val="toc 3"/>
    <w:basedOn w:val="a"/>
    <w:next w:val="a"/>
    <w:autoRedefine/>
    <w:uiPriority w:val="39"/>
    <w:unhideWhenUsed/>
    <w:rsid w:val="00D848EE"/>
    <w:pPr>
      <w:spacing w:after="120" w:line="240" w:lineRule="auto"/>
      <w:ind w:firstLine="0"/>
    </w:pPr>
    <w:rPr>
      <w:bCs/>
      <w:szCs w:val="24"/>
    </w:rPr>
  </w:style>
  <w:style w:type="character" w:customStyle="1" w:styleId="Char1">
    <w:name w:val="Υποσέλιδο Char"/>
    <w:basedOn w:val="a1"/>
    <w:link w:val="a6"/>
    <w:uiPriority w:val="99"/>
    <w:rsid w:val="004D78F0"/>
    <w:rPr>
      <w:rFonts w:ascii="Times New Roman" w:hAnsi="Times New Roman"/>
      <w:sz w:val="24"/>
    </w:rPr>
  </w:style>
  <w:style w:type="paragraph" w:styleId="ad">
    <w:name w:val="Title"/>
    <w:basedOn w:val="a"/>
    <w:next w:val="a"/>
    <w:link w:val="Char3"/>
    <w:qFormat/>
    <w:rsid w:val="00DC22B1"/>
    <w:pPr>
      <w:spacing w:line="240" w:lineRule="auto"/>
      <w:contextualSpacing/>
    </w:pPr>
    <w:rPr>
      <w:rFonts w:asciiTheme="majorHAnsi" w:eastAsiaTheme="majorEastAsia" w:hAnsiTheme="majorHAnsi" w:cstheme="majorBidi"/>
      <w:spacing w:val="-10"/>
      <w:kern w:val="28"/>
      <w:sz w:val="56"/>
      <w:szCs w:val="56"/>
    </w:rPr>
  </w:style>
  <w:style w:type="character" w:customStyle="1" w:styleId="Char3">
    <w:name w:val="Τίτλος Char"/>
    <w:basedOn w:val="a1"/>
    <w:link w:val="ad"/>
    <w:rsid w:val="00DC22B1"/>
    <w:rPr>
      <w:rFonts w:asciiTheme="majorHAnsi" w:eastAsiaTheme="majorEastAsia" w:hAnsiTheme="majorHAnsi" w:cstheme="majorBidi"/>
      <w:spacing w:val="-10"/>
      <w:kern w:val="28"/>
      <w:sz w:val="56"/>
      <w:szCs w:val="56"/>
    </w:rPr>
  </w:style>
  <w:style w:type="paragraph" w:styleId="ae">
    <w:name w:val="Subtitle"/>
    <w:basedOn w:val="a"/>
    <w:next w:val="a"/>
    <w:link w:val="Char4"/>
    <w:qFormat/>
    <w:rsid w:val="00DC22B1"/>
    <w:pPr>
      <w:numPr>
        <w:ilvl w:val="1"/>
      </w:numPr>
      <w:spacing w:after="160"/>
      <w:ind w:firstLine="720"/>
    </w:pPr>
    <w:rPr>
      <w:rFonts w:asciiTheme="minorHAnsi" w:eastAsiaTheme="minorEastAsia" w:hAnsiTheme="minorHAnsi" w:cstheme="minorBidi"/>
      <w:color w:val="5A5A5A" w:themeColor="text1" w:themeTint="A5"/>
      <w:spacing w:val="15"/>
      <w:sz w:val="22"/>
      <w:szCs w:val="22"/>
    </w:rPr>
  </w:style>
  <w:style w:type="character" w:customStyle="1" w:styleId="Char4">
    <w:name w:val="Υπότιτλος Char"/>
    <w:basedOn w:val="a1"/>
    <w:link w:val="ae"/>
    <w:rsid w:val="00DC22B1"/>
    <w:rPr>
      <w:rFonts w:asciiTheme="minorHAnsi" w:eastAsiaTheme="minorEastAsia" w:hAnsiTheme="minorHAnsi" w:cstheme="minorBidi"/>
      <w:color w:val="5A5A5A" w:themeColor="text1" w:themeTint="A5"/>
      <w:spacing w:val="15"/>
      <w:sz w:val="22"/>
      <w:szCs w:val="22"/>
    </w:rPr>
  </w:style>
  <w:style w:type="character" w:customStyle="1" w:styleId="3Char">
    <w:name w:val="Επικεφαλίδα 3 Char"/>
    <w:basedOn w:val="a1"/>
    <w:link w:val="3"/>
    <w:semiHidden/>
    <w:rsid w:val="00776C13"/>
    <w:rPr>
      <w:rFonts w:asciiTheme="majorHAnsi" w:eastAsiaTheme="majorEastAsia" w:hAnsiTheme="majorHAnsi" w:cstheme="majorBidi"/>
      <w:color w:val="243F60" w:themeColor="accent1" w:themeShade="7F"/>
      <w:sz w:val="24"/>
      <w:szCs w:val="24"/>
    </w:rPr>
  </w:style>
  <w:style w:type="paragraph" w:styleId="af">
    <w:name w:val="caption"/>
    <w:basedOn w:val="a"/>
    <w:next w:val="a"/>
    <w:unhideWhenUsed/>
    <w:qFormat/>
    <w:rsid w:val="00E3736C"/>
    <w:pPr>
      <w:spacing w:before="240" w:after="120" w:line="240" w:lineRule="auto"/>
      <w:ind w:firstLine="0"/>
      <w:jc w:val="left"/>
    </w:pPr>
    <w:rPr>
      <w:b/>
      <w:iCs/>
      <w:sz w:val="18"/>
      <w:szCs w:val="18"/>
    </w:rPr>
  </w:style>
  <w:style w:type="paragraph" w:styleId="af0">
    <w:name w:val="table of figures"/>
    <w:basedOn w:val="a"/>
    <w:next w:val="a"/>
    <w:uiPriority w:val="99"/>
    <w:unhideWhenUsed/>
    <w:rsid w:val="00BD24F7"/>
  </w:style>
  <w:style w:type="paragraph" w:styleId="af1">
    <w:name w:val="Balloon Text"/>
    <w:basedOn w:val="a"/>
    <w:link w:val="Char5"/>
    <w:semiHidden/>
    <w:unhideWhenUsed/>
    <w:rsid w:val="00902A3E"/>
    <w:pPr>
      <w:spacing w:line="240" w:lineRule="auto"/>
    </w:pPr>
    <w:rPr>
      <w:rFonts w:ascii="Tahoma" w:hAnsi="Tahoma" w:cs="Tahoma"/>
      <w:sz w:val="16"/>
      <w:szCs w:val="16"/>
    </w:rPr>
  </w:style>
  <w:style w:type="character" w:customStyle="1" w:styleId="Char5">
    <w:name w:val="Κείμενο πλαισίου Char"/>
    <w:basedOn w:val="a1"/>
    <w:link w:val="af1"/>
    <w:semiHidden/>
    <w:rsid w:val="00902A3E"/>
    <w:rPr>
      <w:rFonts w:ascii="Tahoma" w:hAnsi="Tahoma" w:cs="Tahoma"/>
      <w:sz w:val="16"/>
      <w:szCs w:val="16"/>
    </w:rPr>
  </w:style>
  <w:style w:type="numbering" w:customStyle="1" w:styleId="NoList1">
    <w:name w:val="No List1"/>
    <w:next w:val="a3"/>
    <w:uiPriority w:val="99"/>
    <w:semiHidden/>
    <w:unhideWhenUsed/>
    <w:rsid w:val="008275EC"/>
  </w:style>
  <w:style w:type="paragraph" w:customStyle="1" w:styleId="HeaderFooter">
    <w:name w:val="Header &amp; Footer"/>
    <w:rsid w:val="008275EC"/>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14:textOutline w14:w="0" w14:cap="flat" w14:cmpd="sng" w14:algn="ctr">
        <w14:noFill/>
        <w14:prstDash w14:val="solid"/>
        <w14:bevel/>
      </w14:textOutline>
    </w:rPr>
  </w:style>
  <w:style w:type="paragraph" w:customStyle="1" w:styleId="Default">
    <w:name w:val="Default"/>
    <w:rsid w:val="008275EC"/>
    <w:pPr>
      <w:pBdr>
        <w:top w:val="nil"/>
        <w:left w:val="nil"/>
        <w:bottom w:val="nil"/>
        <w:right w:val="nil"/>
        <w:between w:val="nil"/>
        <w:bar w:val="nil"/>
      </w:pBdr>
      <w:spacing w:before="160" w:line="288" w:lineRule="auto"/>
    </w:pPr>
    <w:rPr>
      <w:rFonts w:ascii="Helvetica Neue" w:eastAsia="Arial Unicode MS" w:hAnsi="Helvetica Neue" w:cs="Arial Unicode MS"/>
      <w:color w:val="000000"/>
      <w:sz w:val="24"/>
      <w:szCs w:val="24"/>
      <w:bdr w:val="nil"/>
      <w14:textOutline w14:w="0" w14:cap="flat" w14:cmpd="sng" w14:algn="ctr">
        <w14:noFill/>
        <w14:prstDash w14:val="solid"/>
        <w14:bevel/>
      </w14:textOutline>
    </w:rPr>
  </w:style>
  <w:style w:type="paragraph" w:customStyle="1" w:styleId="Footnote">
    <w:name w:val="Footnote"/>
    <w:rsid w:val="008275EC"/>
    <w:pPr>
      <w:pBdr>
        <w:top w:val="nil"/>
        <w:left w:val="nil"/>
        <w:bottom w:val="nil"/>
        <w:right w:val="nil"/>
        <w:between w:val="nil"/>
        <w:bar w:val="nil"/>
      </w:pBdr>
    </w:pPr>
    <w:rPr>
      <w:rFonts w:ascii="Helvetica Neue" w:eastAsia="Helvetica Neue" w:hAnsi="Helvetica Neue" w:cs="Helvetica Neue"/>
      <w:color w:val="000000"/>
      <w:sz w:val="22"/>
      <w:szCs w:val="22"/>
      <w:bdr w:val="nil"/>
      <w14:textOutline w14:w="0" w14:cap="flat" w14:cmpd="sng" w14:algn="ctr">
        <w14:noFill/>
        <w14:prstDash w14:val="solid"/>
        <w14:bevel/>
      </w14:textOutline>
    </w:rPr>
  </w:style>
  <w:style w:type="paragraph" w:customStyle="1" w:styleId="ListParagraph1">
    <w:name w:val="List Paragraph1"/>
    <w:basedOn w:val="a"/>
    <w:next w:val="af2"/>
    <w:uiPriority w:val="34"/>
    <w:qFormat/>
    <w:rsid w:val="008275EC"/>
    <w:pPr>
      <w:spacing w:after="160" w:line="259" w:lineRule="auto"/>
      <w:ind w:left="720" w:firstLine="0"/>
      <w:contextualSpacing/>
      <w:jc w:val="left"/>
    </w:pPr>
    <w:rPr>
      <w:rFonts w:ascii="Helvetica Neue" w:eastAsia="Helvetica Neue" w:hAnsi="Helvetica Neue"/>
      <w:sz w:val="22"/>
      <w:szCs w:val="22"/>
    </w:rPr>
  </w:style>
  <w:style w:type="character" w:styleId="af3">
    <w:name w:val="annotation reference"/>
    <w:basedOn w:val="a1"/>
    <w:uiPriority w:val="99"/>
    <w:semiHidden/>
    <w:unhideWhenUsed/>
    <w:rsid w:val="008275EC"/>
    <w:rPr>
      <w:sz w:val="16"/>
      <w:szCs w:val="16"/>
    </w:rPr>
  </w:style>
  <w:style w:type="paragraph" w:customStyle="1" w:styleId="CommentText1">
    <w:name w:val="Comment Text1"/>
    <w:basedOn w:val="a"/>
    <w:next w:val="af4"/>
    <w:link w:val="CommentTextChar"/>
    <w:uiPriority w:val="99"/>
    <w:semiHidden/>
    <w:unhideWhenUsed/>
    <w:rsid w:val="008275EC"/>
    <w:pPr>
      <w:spacing w:after="160" w:line="240" w:lineRule="auto"/>
      <w:ind w:firstLine="0"/>
      <w:jc w:val="left"/>
    </w:pPr>
    <w:rPr>
      <w:rFonts w:ascii="Helvetica Neue" w:eastAsia="Helvetica Neue" w:hAnsi="Helvetica Neue"/>
      <w:sz w:val="20"/>
    </w:rPr>
  </w:style>
  <w:style w:type="character" w:customStyle="1" w:styleId="CommentTextChar">
    <w:name w:val="Comment Text Char"/>
    <w:basedOn w:val="a1"/>
    <w:link w:val="CommentText1"/>
    <w:uiPriority w:val="99"/>
    <w:semiHidden/>
    <w:rsid w:val="008275EC"/>
    <w:rPr>
      <w:rFonts w:ascii="Helvetica Neue" w:eastAsia="Helvetica Neue" w:hAnsi="Helvetica Neue" w:cs="Times New Roman"/>
      <w:bdr w:val="none" w:sz="0" w:space="0" w:color="auto"/>
    </w:rPr>
  </w:style>
  <w:style w:type="paragraph" w:styleId="af5">
    <w:name w:val="footnote text"/>
    <w:basedOn w:val="a"/>
    <w:link w:val="Char6"/>
    <w:uiPriority w:val="99"/>
    <w:semiHidden/>
    <w:unhideWhenUsed/>
    <w:rsid w:val="008275EC"/>
    <w:pPr>
      <w:pBdr>
        <w:top w:val="nil"/>
        <w:left w:val="nil"/>
        <w:bottom w:val="nil"/>
        <w:right w:val="nil"/>
        <w:between w:val="nil"/>
        <w:bar w:val="nil"/>
      </w:pBdr>
      <w:spacing w:line="240" w:lineRule="auto"/>
      <w:ind w:firstLine="0"/>
      <w:jc w:val="left"/>
    </w:pPr>
    <w:rPr>
      <w:rFonts w:eastAsia="Arial Unicode MS"/>
      <w:sz w:val="20"/>
      <w:bdr w:val="nil"/>
    </w:rPr>
  </w:style>
  <w:style w:type="character" w:customStyle="1" w:styleId="Char6">
    <w:name w:val="Κείμενο υποσημείωσης Char"/>
    <w:basedOn w:val="a1"/>
    <w:link w:val="af5"/>
    <w:uiPriority w:val="99"/>
    <w:semiHidden/>
    <w:rsid w:val="008275EC"/>
    <w:rPr>
      <w:rFonts w:ascii="Times New Roman" w:eastAsia="Arial Unicode MS" w:hAnsi="Times New Roman"/>
      <w:bdr w:val="nil"/>
    </w:rPr>
  </w:style>
  <w:style w:type="character" w:styleId="af6">
    <w:name w:val="footnote reference"/>
    <w:basedOn w:val="a1"/>
    <w:uiPriority w:val="99"/>
    <w:semiHidden/>
    <w:unhideWhenUsed/>
    <w:rsid w:val="008275EC"/>
    <w:rPr>
      <w:vertAlign w:val="superscript"/>
    </w:rPr>
  </w:style>
  <w:style w:type="paragraph" w:customStyle="1" w:styleId="NoSpacing1">
    <w:name w:val="No Spacing1"/>
    <w:next w:val="af7"/>
    <w:link w:val="NoSpacingChar"/>
    <w:uiPriority w:val="1"/>
    <w:qFormat/>
    <w:rsid w:val="008275EC"/>
    <w:rPr>
      <w:rFonts w:ascii="Helvetica Neue" w:hAnsi="Helvetica Neue"/>
      <w:sz w:val="22"/>
      <w:szCs w:val="22"/>
    </w:rPr>
  </w:style>
  <w:style w:type="character" w:customStyle="1" w:styleId="NoSpacingChar">
    <w:name w:val="No Spacing Char"/>
    <w:basedOn w:val="a1"/>
    <w:link w:val="NoSpacing1"/>
    <w:uiPriority w:val="1"/>
    <w:rsid w:val="008275EC"/>
    <w:rPr>
      <w:rFonts w:ascii="Helvetica Neue" w:eastAsia="Times New Roman" w:hAnsi="Helvetica Neue" w:cs="Times New Roman"/>
      <w:sz w:val="22"/>
      <w:szCs w:val="22"/>
      <w:bdr w:val="none" w:sz="0" w:space="0" w:color="auto"/>
    </w:rPr>
  </w:style>
  <w:style w:type="table" w:customStyle="1" w:styleId="TableGrid1">
    <w:name w:val="Table Grid1"/>
    <w:basedOn w:val="a2"/>
    <w:next w:val="aa"/>
    <w:uiPriority w:val="39"/>
    <w:rsid w:val="008275EC"/>
    <w:pPr>
      <w:pBdr>
        <w:top w:val="nil"/>
        <w:left w:val="nil"/>
        <w:bottom w:val="nil"/>
        <w:right w:val="nil"/>
        <w:between w:val="nil"/>
        <w:bar w:val="nil"/>
      </w:pBdr>
    </w:pPr>
    <w:rPr>
      <w:rFonts w:ascii="Times New Roman" w:eastAsia="Arial Unicode MS" w:hAnsi="Times New Roman"/>
      <w:bdr w:val="ni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2-Accent11">
    <w:name w:val="List Table 2 - Accent 11"/>
    <w:basedOn w:val="a2"/>
    <w:next w:val="ListTable2Accent1"/>
    <w:uiPriority w:val="47"/>
    <w:rsid w:val="008275EC"/>
    <w:pPr>
      <w:pBdr>
        <w:top w:val="nil"/>
        <w:left w:val="nil"/>
        <w:bottom w:val="nil"/>
        <w:right w:val="nil"/>
        <w:between w:val="nil"/>
        <w:bar w:val="nil"/>
      </w:pBdr>
    </w:pPr>
    <w:rPr>
      <w:rFonts w:ascii="Times New Roman" w:eastAsia="Arial Unicode MS" w:hAnsi="Times New Roman"/>
      <w:bdr w:val="nil"/>
    </w:rPr>
    <w:tblPr>
      <w:tblStyleRowBandSize w:val="1"/>
      <w:tblStyleColBandSize w:val="1"/>
      <w:tblInd w:w="0" w:type="dxa"/>
      <w:tblBorders>
        <w:top w:val="single" w:sz="4" w:space="0" w:color="66C7FF"/>
        <w:bottom w:val="single" w:sz="4" w:space="0" w:color="66C7FF"/>
        <w:insideH w:val="single" w:sz="4" w:space="0" w:color="66C7FF"/>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ECFF"/>
      </w:tcPr>
    </w:tblStylePr>
    <w:tblStylePr w:type="band1Horz">
      <w:tblPr/>
      <w:tcPr>
        <w:shd w:val="clear" w:color="auto" w:fill="CCECFF"/>
      </w:tcPr>
    </w:tblStylePr>
  </w:style>
  <w:style w:type="paragraph" w:styleId="af2">
    <w:name w:val="List Paragraph"/>
    <w:basedOn w:val="a"/>
    <w:uiPriority w:val="34"/>
    <w:qFormat/>
    <w:rsid w:val="008275EC"/>
    <w:pPr>
      <w:ind w:left="720"/>
      <w:contextualSpacing/>
    </w:pPr>
  </w:style>
  <w:style w:type="paragraph" w:styleId="af4">
    <w:name w:val="annotation text"/>
    <w:basedOn w:val="a"/>
    <w:link w:val="Char7"/>
    <w:semiHidden/>
    <w:unhideWhenUsed/>
    <w:rsid w:val="008275EC"/>
    <w:pPr>
      <w:spacing w:line="240" w:lineRule="auto"/>
    </w:pPr>
    <w:rPr>
      <w:sz w:val="20"/>
    </w:rPr>
  </w:style>
  <w:style w:type="character" w:customStyle="1" w:styleId="Char7">
    <w:name w:val="Κείμενο σχολίου Char"/>
    <w:basedOn w:val="a1"/>
    <w:link w:val="af4"/>
    <w:semiHidden/>
    <w:rsid w:val="008275EC"/>
    <w:rPr>
      <w:rFonts w:ascii="Times New Roman" w:hAnsi="Times New Roman"/>
    </w:rPr>
  </w:style>
  <w:style w:type="paragraph" w:styleId="af7">
    <w:name w:val="No Spacing"/>
    <w:uiPriority w:val="1"/>
    <w:qFormat/>
    <w:rsid w:val="008275EC"/>
    <w:pPr>
      <w:ind w:firstLine="720"/>
      <w:jc w:val="both"/>
    </w:pPr>
    <w:rPr>
      <w:rFonts w:ascii="Times New Roman" w:hAnsi="Times New Roman"/>
      <w:sz w:val="24"/>
    </w:rPr>
  </w:style>
  <w:style w:type="table" w:customStyle="1" w:styleId="ListTable2Accent1">
    <w:name w:val="List Table 2 Accent 1"/>
    <w:basedOn w:val="a2"/>
    <w:uiPriority w:val="47"/>
    <w:rsid w:val="008275EC"/>
    <w:tblPr>
      <w:tblStyleRowBandSize w:val="1"/>
      <w:tblStyleColBandSize w:val="1"/>
      <w:tblInd w:w="0" w:type="dxa"/>
      <w:tblBorders>
        <w:top w:val="single" w:sz="4" w:space="0" w:color="95B3D7" w:themeColor="accent1" w:themeTint="99"/>
        <w:bottom w:val="single" w:sz="4" w:space="0" w:color="95B3D7" w:themeColor="accent1" w:themeTint="99"/>
        <w:insideH w:val="single" w:sz="4" w:space="0" w:color="95B3D7" w:themeColor="accen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imes New Roman" w:hAnsi="Times"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1752"/>
    <w:pPr>
      <w:spacing w:line="360" w:lineRule="auto"/>
      <w:ind w:firstLine="720"/>
      <w:jc w:val="both"/>
    </w:pPr>
    <w:rPr>
      <w:rFonts w:ascii="Times New Roman" w:hAnsi="Times New Roman"/>
      <w:sz w:val="24"/>
    </w:rPr>
  </w:style>
  <w:style w:type="paragraph" w:styleId="1">
    <w:name w:val="heading 1"/>
    <w:basedOn w:val="a"/>
    <w:next w:val="a0"/>
    <w:link w:val="1Char"/>
    <w:autoRedefine/>
    <w:uiPriority w:val="9"/>
    <w:qFormat/>
    <w:rsid w:val="00C57997"/>
    <w:pPr>
      <w:spacing w:line="480" w:lineRule="auto"/>
      <w:ind w:firstLine="0"/>
      <w:jc w:val="center"/>
      <w:outlineLvl w:val="0"/>
    </w:pPr>
    <w:rPr>
      <w:rFonts w:eastAsia="Calibri"/>
      <w:b/>
      <w:bCs/>
      <w:caps/>
      <w:sz w:val="28"/>
      <w:szCs w:val="28"/>
      <w:lang w:val="el-GR"/>
    </w:rPr>
  </w:style>
  <w:style w:type="paragraph" w:styleId="2">
    <w:name w:val="heading 2"/>
    <w:basedOn w:val="a"/>
    <w:next w:val="a"/>
    <w:qFormat/>
    <w:rsid w:val="00DC22B1"/>
    <w:pPr>
      <w:spacing w:before="240"/>
      <w:outlineLvl w:val="1"/>
    </w:pPr>
    <w:rPr>
      <w:b/>
      <w:i/>
    </w:rPr>
  </w:style>
  <w:style w:type="paragraph" w:styleId="3">
    <w:name w:val="heading 3"/>
    <w:basedOn w:val="a"/>
    <w:next w:val="a"/>
    <w:link w:val="3Char"/>
    <w:semiHidden/>
    <w:unhideWhenUsed/>
    <w:qFormat/>
    <w:rsid w:val="00776C13"/>
    <w:pPr>
      <w:keepNext/>
      <w:keepLines/>
      <w:spacing w:before="40"/>
      <w:outlineLvl w:val="2"/>
    </w:pPr>
    <w:rPr>
      <w:rFonts w:asciiTheme="majorHAnsi" w:eastAsiaTheme="majorEastAsia" w:hAnsiTheme="majorHAnsi" w:cstheme="majorBidi"/>
      <w:color w:val="243F60" w:themeColor="accent1" w:themeShade="7F"/>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rsid w:val="00EF572D"/>
    <w:pPr>
      <w:ind w:firstLine="539"/>
    </w:pPr>
  </w:style>
  <w:style w:type="paragraph" w:styleId="a4">
    <w:name w:val="header"/>
    <w:basedOn w:val="a"/>
    <w:link w:val="Char0"/>
    <w:uiPriority w:val="99"/>
    <w:pPr>
      <w:tabs>
        <w:tab w:val="center" w:pos="4320"/>
        <w:tab w:val="right" w:pos="8640"/>
      </w:tabs>
    </w:pPr>
  </w:style>
  <w:style w:type="character" w:styleId="a5">
    <w:name w:val="page number"/>
    <w:basedOn w:val="a1"/>
  </w:style>
  <w:style w:type="character" w:styleId="-">
    <w:name w:val="Hyperlink"/>
    <w:basedOn w:val="a1"/>
    <w:rPr>
      <w:color w:val="0000FF"/>
      <w:u w:val="single"/>
    </w:rPr>
  </w:style>
  <w:style w:type="character" w:customStyle="1" w:styleId="1Char">
    <w:name w:val="Επικεφαλίδα 1 Char"/>
    <w:basedOn w:val="a1"/>
    <w:link w:val="1"/>
    <w:uiPriority w:val="9"/>
    <w:rsid w:val="00C57997"/>
    <w:rPr>
      <w:rFonts w:ascii="Times New Roman" w:eastAsia="Calibri" w:hAnsi="Times New Roman"/>
      <w:b/>
      <w:bCs/>
      <w:caps/>
      <w:sz w:val="28"/>
      <w:szCs w:val="28"/>
      <w:lang w:val="el-GR"/>
    </w:rPr>
  </w:style>
  <w:style w:type="paragraph" w:styleId="a6">
    <w:name w:val="footer"/>
    <w:basedOn w:val="a"/>
    <w:link w:val="Char1"/>
    <w:uiPriority w:val="99"/>
    <w:pPr>
      <w:tabs>
        <w:tab w:val="center" w:pos="4320"/>
        <w:tab w:val="right" w:pos="8640"/>
      </w:tabs>
    </w:pPr>
  </w:style>
  <w:style w:type="paragraph" w:customStyle="1" w:styleId="Numberedlist">
    <w:name w:val="Numbered list"/>
    <w:basedOn w:val="a"/>
    <w:rsid w:val="001D5854"/>
    <w:pPr>
      <w:numPr>
        <w:numId w:val="12"/>
      </w:numPr>
      <w:spacing w:line="480" w:lineRule="auto"/>
    </w:pPr>
  </w:style>
  <w:style w:type="character" w:customStyle="1" w:styleId="Char">
    <w:name w:val="Σώμα κειμένου Char"/>
    <w:basedOn w:val="a1"/>
    <w:link w:val="a0"/>
    <w:rsid w:val="00EF572D"/>
    <w:rPr>
      <w:rFonts w:ascii="Times New Roman" w:hAnsi="Times New Roman"/>
      <w:sz w:val="24"/>
    </w:rPr>
  </w:style>
  <w:style w:type="paragraph" w:styleId="a7">
    <w:name w:val="Block Text"/>
    <w:basedOn w:val="a0"/>
    <w:link w:val="Char2"/>
    <w:rsid w:val="00DB3D7C"/>
    <w:pPr>
      <w:ind w:firstLine="0"/>
    </w:pPr>
  </w:style>
  <w:style w:type="paragraph" w:customStyle="1" w:styleId="Quotation">
    <w:name w:val="Quotation"/>
    <w:basedOn w:val="a0"/>
    <w:rsid w:val="00FA7F58"/>
    <w:pPr>
      <w:ind w:left="547" w:firstLine="0"/>
    </w:pPr>
  </w:style>
  <w:style w:type="character" w:customStyle="1" w:styleId="Char2">
    <w:name w:val="Τμήμα κειμένου Char"/>
    <w:basedOn w:val="Char"/>
    <w:link w:val="a7"/>
    <w:rsid w:val="00FA7F58"/>
    <w:rPr>
      <w:rFonts w:ascii="Times New Roman" w:hAnsi="Times New Roman"/>
      <w:sz w:val="24"/>
      <w:lang w:val="en-US" w:eastAsia="en-US" w:bidi="ar-SA"/>
    </w:rPr>
  </w:style>
  <w:style w:type="paragraph" w:customStyle="1" w:styleId="Reference">
    <w:name w:val="Reference"/>
    <w:basedOn w:val="a0"/>
    <w:rsid w:val="00F00B2E"/>
    <w:pPr>
      <w:ind w:left="547" w:hanging="547"/>
    </w:pPr>
  </w:style>
  <w:style w:type="paragraph" w:styleId="a8">
    <w:name w:val="TOC Heading"/>
    <w:basedOn w:val="1"/>
    <w:next w:val="a"/>
    <w:uiPriority w:val="39"/>
    <w:unhideWhenUsed/>
    <w:qFormat/>
    <w:rsid w:val="00F93819"/>
    <w:pPr>
      <w:keepNext/>
      <w:keepLines/>
      <w:spacing w:before="240" w:line="259" w:lineRule="auto"/>
      <w:jc w:val="left"/>
      <w:outlineLvl w:val="9"/>
    </w:pPr>
    <w:rPr>
      <w:rFonts w:asciiTheme="majorHAnsi" w:eastAsiaTheme="majorEastAsia" w:hAnsiTheme="majorHAnsi" w:cstheme="majorBidi"/>
      <w:color w:val="365F91" w:themeColor="accent1" w:themeShade="BF"/>
      <w:sz w:val="32"/>
      <w:szCs w:val="32"/>
    </w:rPr>
  </w:style>
  <w:style w:type="paragraph" w:styleId="10">
    <w:name w:val="toc 1"/>
    <w:basedOn w:val="a"/>
    <w:next w:val="a"/>
    <w:autoRedefine/>
    <w:uiPriority w:val="39"/>
    <w:unhideWhenUsed/>
    <w:rsid w:val="00D848EE"/>
    <w:pPr>
      <w:framePr w:wrap="around" w:vAnchor="text" w:hAnchor="text" w:y="1"/>
      <w:tabs>
        <w:tab w:val="right" w:leader="dot" w:pos="9017"/>
      </w:tabs>
      <w:spacing w:after="120" w:line="240" w:lineRule="auto"/>
      <w:ind w:firstLine="0"/>
    </w:pPr>
    <w:rPr>
      <w:bCs/>
      <w:caps/>
      <w:szCs w:val="24"/>
      <w:lang w:val="el-GR"/>
    </w:rPr>
  </w:style>
  <w:style w:type="paragraph" w:styleId="20">
    <w:name w:val="toc 2"/>
    <w:basedOn w:val="a"/>
    <w:next w:val="a"/>
    <w:autoRedefine/>
    <w:uiPriority w:val="39"/>
    <w:unhideWhenUsed/>
    <w:rsid w:val="00D848EE"/>
    <w:pPr>
      <w:tabs>
        <w:tab w:val="right" w:leader="dot" w:pos="9017"/>
      </w:tabs>
      <w:spacing w:before="200" w:after="200"/>
      <w:ind w:firstLine="0"/>
    </w:pPr>
    <w:rPr>
      <w:bCs/>
      <w:szCs w:val="24"/>
      <w:lang w:val="el-GR"/>
    </w:rPr>
  </w:style>
  <w:style w:type="character" w:customStyle="1" w:styleId="Char0">
    <w:name w:val="Κεφαλίδα Char"/>
    <w:basedOn w:val="a1"/>
    <w:link w:val="a4"/>
    <w:uiPriority w:val="99"/>
    <w:rsid w:val="007A346C"/>
    <w:rPr>
      <w:rFonts w:ascii="Times New Roman" w:hAnsi="Times New Roman"/>
      <w:sz w:val="24"/>
    </w:rPr>
  </w:style>
  <w:style w:type="paragraph" w:styleId="a9">
    <w:name w:val="Bibliography"/>
    <w:basedOn w:val="a"/>
    <w:next w:val="a"/>
    <w:uiPriority w:val="37"/>
    <w:unhideWhenUsed/>
    <w:rsid w:val="00696D02"/>
  </w:style>
  <w:style w:type="table" w:styleId="aa">
    <w:name w:val="Table Grid"/>
    <w:basedOn w:val="a2"/>
    <w:rsid w:val="00E83B5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1"/>
    <w:qFormat/>
    <w:rsid w:val="001F2118"/>
    <w:rPr>
      <w:rFonts w:ascii="Times New Roman" w:hAnsi="Times New Roman"/>
      <w:i/>
      <w:iCs/>
      <w:sz w:val="24"/>
    </w:rPr>
  </w:style>
  <w:style w:type="character" w:styleId="ac">
    <w:name w:val="Strong"/>
    <w:basedOn w:val="ab"/>
    <w:qFormat/>
    <w:rsid w:val="00F85B59"/>
    <w:rPr>
      <w:rFonts w:ascii="Times New Roman" w:hAnsi="Times New Roman"/>
      <w:b/>
      <w:bCs/>
      <w:i w:val="0"/>
      <w:iCs/>
      <w:caps w:val="0"/>
      <w:smallCaps w:val="0"/>
      <w:color w:val="auto"/>
      <w:sz w:val="24"/>
    </w:rPr>
  </w:style>
  <w:style w:type="paragraph" w:customStyle="1" w:styleId="30">
    <w:name w:val="Επικεφαλίδα_3"/>
    <w:basedOn w:val="1"/>
    <w:next w:val="a0"/>
    <w:rsid w:val="00C06FBA"/>
    <w:rPr>
      <w:b w:val="0"/>
      <w:bCs w:val="0"/>
    </w:rPr>
  </w:style>
  <w:style w:type="paragraph" w:styleId="31">
    <w:name w:val="toc 3"/>
    <w:basedOn w:val="a"/>
    <w:next w:val="a"/>
    <w:autoRedefine/>
    <w:uiPriority w:val="39"/>
    <w:unhideWhenUsed/>
    <w:rsid w:val="00D848EE"/>
    <w:pPr>
      <w:spacing w:after="120" w:line="240" w:lineRule="auto"/>
      <w:ind w:firstLine="0"/>
    </w:pPr>
    <w:rPr>
      <w:bCs/>
      <w:szCs w:val="24"/>
    </w:rPr>
  </w:style>
  <w:style w:type="character" w:customStyle="1" w:styleId="Char1">
    <w:name w:val="Υποσέλιδο Char"/>
    <w:basedOn w:val="a1"/>
    <w:link w:val="a6"/>
    <w:uiPriority w:val="99"/>
    <w:rsid w:val="004D78F0"/>
    <w:rPr>
      <w:rFonts w:ascii="Times New Roman" w:hAnsi="Times New Roman"/>
      <w:sz w:val="24"/>
    </w:rPr>
  </w:style>
  <w:style w:type="paragraph" w:styleId="ad">
    <w:name w:val="Title"/>
    <w:basedOn w:val="a"/>
    <w:next w:val="a"/>
    <w:link w:val="Char3"/>
    <w:qFormat/>
    <w:rsid w:val="00DC22B1"/>
    <w:pPr>
      <w:spacing w:line="240" w:lineRule="auto"/>
      <w:contextualSpacing/>
    </w:pPr>
    <w:rPr>
      <w:rFonts w:asciiTheme="majorHAnsi" w:eastAsiaTheme="majorEastAsia" w:hAnsiTheme="majorHAnsi" w:cstheme="majorBidi"/>
      <w:spacing w:val="-10"/>
      <w:kern w:val="28"/>
      <w:sz w:val="56"/>
      <w:szCs w:val="56"/>
    </w:rPr>
  </w:style>
  <w:style w:type="character" w:customStyle="1" w:styleId="Char3">
    <w:name w:val="Τίτλος Char"/>
    <w:basedOn w:val="a1"/>
    <w:link w:val="ad"/>
    <w:rsid w:val="00DC22B1"/>
    <w:rPr>
      <w:rFonts w:asciiTheme="majorHAnsi" w:eastAsiaTheme="majorEastAsia" w:hAnsiTheme="majorHAnsi" w:cstheme="majorBidi"/>
      <w:spacing w:val="-10"/>
      <w:kern w:val="28"/>
      <w:sz w:val="56"/>
      <w:szCs w:val="56"/>
    </w:rPr>
  </w:style>
  <w:style w:type="paragraph" w:styleId="ae">
    <w:name w:val="Subtitle"/>
    <w:basedOn w:val="a"/>
    <w:next w:val="a"/>
    <w:link w:val="Char4"/>
    <w:qFormat/>
    <w:rsid w:val="00DC22B1"/>
    <w:pPr>
      <w:numPr>
        <w:ilvl w:val="1"/>
      </w:numPr>
      <w:spacing w:after="160"/>
      <w:ind w:firstLine="720"/>
    </w:pPr>
    <w:rPr>
      <w:rFonts w:asciiTheme="minorHAnsi" w:eastAsiaTheme="minorEastAsia" w:hAnsiTheme="minorHAnsi" w:cstheme="minorBidi"/>
      <w:color w:val="5A5A5A" w:themeColor="text1" w:themeTint="A5"/>
      <w:spacing w:val="15"/>
      <w:sz w:val="22"/>
      <w:szCs w:val="22"/>
    </w:rPr>
  </w:style>
  <w:style w:type="character" w:customStyle="1" w:styleId="Char4">
    <w:name w:val="Υπότιτλος Char"/>
    <w:basedOn w:val="a1"/>
    <w:link w:val="ae"/>
    <w:rsid w:val="00DC22B1"/>
    <w:rPr>
      <w:rFonts w:asciiTheme="minorHAnsi" w:eastAsiaTheme="minorEastAsia" w:hAnsiTheme="minorHAnsi" w:cstheme="minorBidi"/>
      <w:color w:val="5A5A5A" w:themeColor="text1" w:themeTint="A5"/>
      <w:spacing w:val="15"/>
      <w:sz w:val="22"/>
      <w:szCs w:val="22"/>
    </w:rPr>
  </w:style>
  <w:style w:type="character" w:customStyle="1" w:styleId="3Char">
    <w:name w:val="Επικεφαλίδα 3 Char"/>
    <w:basedOn w:val="a1"/>
    <w:link w:val="3"/>
    <w:semiHidden/>
    <w:rsid w:val="00776C13"/>
    <w:rPr>
      <w:rFonts w:asciiTheme="majorHAnsi" w:eastAsiaTheme="majorEastAsia" w:hAnsiTheme="majorHAnsi" w:cstheme="majorBidi"/>
      <w:color w:val="243F60" w:themeColor="accent1" w:themeShade="7F"/>
      <w:sz w:val="24"/>
      <w:szCs w:val="24"/>
    </w:rPr>
  </w:style>
  <w:style w:type="paragraph" w:styleId="af">
    <w:name w:val="caption"/>
    <w:basedOn w:val="a"/>
    <w:next w:val="a"/>
    <w:unhideWhenUsed/>
    <w:qFormat/>
    <w:rsid w:val="00E3736C"/>
    <w:pPr>
      <w:spacing w:before="240" w:after="120" w:line="240" w:lineRule="auto"/>
      <w:ind w:firstLine="0"/>
      <w:jc w:val="left"/>
    </w:pPr>
    <w:rPr>
      <w:b/>
      <w:iCs/>
      <w:sz w:val="18"/>
      <w:szCs w:val="18"/>
    </w:rPr>
  </w:style>
  <w:style w:type="paragraph" w:styleId="af0">
    <w:name w:val="table of figures"/>
    <w:basedOn w:val="a"/>
    <w:next w:val="a"/>
    <w:uiPriority w:val="99"/>
    <w:unhideWhenUsed/>
    <w:rsid w:val="00BD24F7"/>
  </w:style>
  <w:style w:type="paragraph" w:styleId="af1">
    <w:name w:val="Balloon Text"/>
    <w:basedOn w:val="a"/>
    <w:link w:val="Char5"/>
    <w:semiHidden/>
    <w:unhideWhenUsed/>
    <w:rsid w:val="00902A3E"/>
    <w:pPr>
      <w:spacing w:line="240" w:lineRule="auto"/>
    </w:pPr>
    <w:rPr>
      <w:rFonts w:ascii="Tahoma" w:hAnsi="Tahoma" w:cs="Tahoma"/>
      <w:sz w:val="16"/>
      <w:szCs w:val="16"/>
    </w:rPr>
  </w:style>
  <w:style w:type="character" w:customStyle="1" w:styleId="Char5">
    <w:name w:val="Κείμενο πλαισίου Char"/>
    <w:basedOn w:val="a1"/>
    <w:link w:val="af1"/>
    <w:semiHidden/>
    <w:rsid w:val="00902A3E"/>
    <w:rPr>
      <w:rFonts w:ascii="Tahoma" w:hAnsi="Tahoma" w:cs="Tahoma"/>
      <w:sz w:val="16"/>
      <w:szCs w:val="16"/>
    </w:rPr>
  </w:style>
  <w:style w:type="numbering" w:customStyle="1" w:styleId="NoList1">
    <w:name w:val="No List1"/>
    <w:next w:val="a3"/>
    <w:uiPriority w:val="99"/>
    <w:semiHidden/>
    <w:unhideWhenUsed/>
    <w:rsid w:val="008275EC"/>
  </w:style>
  <w:style w:type="paragraph" w:customStyle="1" w:styleId="HeaderFooter">
    <w:name w:val="Header &amp; Footer"/>
    <w:rsid w:val="008275EC"/>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14:textOutline w14:w="0" w14:cap="flat" w14:cmpd="sng" w14:algn="ctr">
        <w14:noFill/>
        <w14:prstDash w14:val="solid"/>
        <w14:bevel/>
      </w14:textOutline>
    </w:rPr>
  </w:style>
  <w:style w:type="paragraph" w:customStyle="1" w:styleId="Default">
    <w:name w:val="Default"/>
    <w:rsid w:val="008275EC"/>
    <w:pPr>
      <w:pBdr>
        <w:top w:val="nil"/>
        <w:left w:val="nil"/>
        <w:bottom w:val="nil"/>
        <w:right w:val="nil"/>
        <w:between w:val="nil"/>
        <w:bar w:val="nil"/>
      </w:pBdr>
      <w:spacing w:before="160" w:line="288" w:lineRule="auto"/>
    </w:pPr>
    <w:rPr>
      <w:rFonts w:ascii="Helvetica Neue" w:eastAsia="Arial Unicode MS" w:hAnsi="Helvetica Neue" w:cs="Arial Unicode MS"/>
      <w:color w:val="000000"/>
      <w:sz w:val="24"/>
      <w:szCs w:val="24"/>
      <w:bdr w:val="nil"/>
      <w14:textOutline w14:w="0" w14:cap="flat" w14:cmpd="sng" w14:algn="ctr">
        <w14:noFill/>
        <w14:prstDash w14:val="solid"/>
        <w14:bevel/>
      </w14:textOutline>
    </w:rPr>
  </w:style>
  <w:style w:type="paragraph" w:customStyle="1" w:styleId="Footnote">
    <w:name w:val="Footnote"/>
    <w:rsid w:val="008275EC"/>
    <w:pPr>
      <w:pBdr>
        <w:top w:val="nil"/>
        <w:left w:val="nil"/>
        <w:bottom w:val="nil"/>
        <w:right w:val="nil"/>
        <w:between w:val="nil"/>
        <w:bar w:val="nil"/>
      </w:pBdr>
    </w:pPr>
    <w:rPr>
      <w:rFonts w:ascii="Helvetica Neue" w:eastAsia="Helvetica Neue" w:hAnsi="Helvetica Neue" w:cs="Helvetica Neue"/>
      <w:color w:val="000000"/>
      <w:sz w:val="22"/>
      <w:szCs w:val="22"/>
      <w:bdr w:val="nil"/>
      <w14:textOutline w14:w="0" w14:cap="flat" w14:cmpd="sng" w14:algn="ctr">
        <w14:noFill/>
        <w14:prstDash w14:val="solid"/>
        <w14:bevel/>
      </w14:textOutline>
    </w:rPr>
  </w:style>
  <w:style w:type="paragraph" w:customStyle="1" w:styleId="ListParagraph1">
    <w:name w:val="List Paragraph1"/>
    <w:basedOn w:val="a"/>
    <w:next w:val="af2"/>
    <w:uiPriority w:val="34"/>
    <w:qFormat/>
    <w:rsid w:val="008275EC"/>
    <w:pPr>
      <w:spacing w:after="160" w:line="259" w:lineRule="auto"/>
      <w:ind w:left="720" w:firstLine="0"/>
      <w:contextualSpacing/>
      <w:jc w:val="left"/>
    </w:pPr>
    <w:rPr>
      <w:rFonts w:ascii="Helvetica Neue" w:eastAsia="Helvetica Neue" w:hAnsi="Helvetica Neue"/>
      <w:sz w:val="22"/>
      <w:szCs w:val="22"/>
    </w:rPr>
  </w:style>
  <w:style w:type="character" w:styleId="af3">
    <w:name w:val="annotation reference"/>
    <w:basedOn w:val="a1"/>
    <w:uiPriority w:val="99"/>
    <w:semiHidden/>
    <w:unhideWhenUsed/>
    <w:rsid w:val="008275EC"/>
    <w:rPr>
      <w:sz w:val="16"/>
      <w:szCs w:val="16"/>
    </w:rPr>
  </w:style>
  <w:style w:type="paragraph" w:customStyle="1" w:styleId="CommentText1">
    <w:name w:val="Comment Text1"/>
    <w:basedOn w:val="a"/>
    <w:next w:val="af4"/>
    <w:link w:val="CommentTextChar"/>
    <w:uiPriority w:val="99"/>
    <w:semiHidden/>
    <w:unhideWhenUsed/>
    <w:rsid w:val="008275EC"/>
    <w:pPr>
      <w:spacing w:after="160" w:line="240" w:lineRule="auto"/>
      <w:ind w:firstLine="0"/>
      <w:jc w:val="left"/>
    </w:pPr>
    <w:rPr>
      <w:rFonts w:ascii="Helvetica Neue" w:eastAsia="Helvetica Neue" w:hAnsi="Helvetica Neue"/>
      <w:sz w:val="20"/>
    </w:rPr>
  </w:style>
  <w:style w:type="character" w:customStyle="1" w:styleId="CommentTextChar">
    <w:name w:val="Comment Text Char"/>
    <w:basedOn w:val="a1"/>
    <w:link w:val="CommentText1"/>
    <w:uiPriority w:val="99"/>
    <w:semiHidden/>
    <w:rsid w:val="008275EC"/>
    <w:rPr>
      <w:rFonts w:ascii="Helvetica Neue" w:eastAsia="Helvetica Neue" w:hAnsi="Helvetica Neue" w:cs="Times New Roman"/>
      <w:bdr w:val="none" w:sz="0" w:space="0" w:color="auto"/>
    </w:rPr>
  </w:style>
  <w:style w:type="paragraph" w:styleId="af5">
    <w:name w:val="footnote text"/>
    <w:basedOn w:val="a"/>
    <w:link w:val="Char6"/>
    <w:uiPriority w:val="99"/>
    <w:semiHidden/>
    <w:unhideWhenUsed/>
    <w:rsid w:val="008275EC"/>
    <w:pPr>
      <w:pBdr>
        <w:top w:val="nil"/>
        <w:left w:val="nil"/>
        <w:bottom w:val="nil"/>
        <w:right w:val="nil"/>
        <w:between w:val="nil"/>
        <w:bar w:val="nil"/>
      </w:pBdr>
      <w:spacing w:line="240" w:lineRule="auto"/>
      <w:ind w:firstLine="0"/>
      <w:jc w:val="left"/>
    </w:pPr>
    <w:rPr>
      <w:rFonts w:eastAsia="Arial Unicode MS"/>
      <w:sz w:val="20"/>
      <w:bdr w:val="nil"/>
    </w:rPr>
  </w:style>
  <w:style w:type="character" w:customStyle="1" w:styleId="Char6">
    <w:name w:val="Κείμενο υποσημείωσης Char"/>
    <w:basedOn w:val="a1"/>
    <w:link w:val="af5"/>
    <w:uiPriority w:val="99"/>
    <w:semiHidden/>
    <w:rsid w:val="008275EC"/>
    <w:rPr>
      <w:rFonts w:ascii="Times New Roman" w:eastAsia="Arial Unicode MS" w:hAnsi="Times New Roman"/>
      <w:bdr w:val="nil"/>
    </w:rPr>
  </w:style>
  <w:style w:type="character" w:styleId="af6">
    <w:name w:val="footnote reference"/>
    <w:basedOn w:val="a1"/>
    <w:uiPriority w:val="99"/>
    <w:semiHidden/>
    <w:unhideWhenUsed/>
    <w:rsid w:val="008275EC"/>
    <w:rPr>
      <w:vertAlign w:val="superscript"/>
    </w:rPr>
  </w:style>
  <w:style w:type="paragraph" w:customStyle="1" w:styleId="NoSpacing1">
    <w:name w:val="No Spacing1"/>
    <w:next w:val="af7"/>
    <w:link w:val="NoSpacingChar"/>
    <w:uiPriority w:val="1"/>
    <w:qFormat/>
    <w:rsid w:val="008275EC"/>
    <w:rPr>
      <w:rFonts w:ascii="Helvetica Neue" w:hAnsi="Helvetica Neue"/>
      <w:sz w:val="22"/>
      <w:szCs w:val="22"/>
    </w:rPr>
  </w:style>
  <w:style w:type="character" w:customStyle="1" w:styleId="NoSpacingChar">
    <w:name w:val="No Spacing Char"/>
    <w:basedOn w:val="a1"/>
    <w:link w:val="NoSpacing1"/>
    <w:uiPriority w:val="1"/>
    <w:rsid w:val="008275EC"/>
    <w:rPr>
      <w:rFonts w:ascii="Helvetica Neue" w:eastAsia="Times New Roman" w:hAnsi="Helvetica Neue" w:cs="Times New Roman"/>
      <w:sz w:val="22"/>
      <w:szCs w:val="22"/>
      <w:bdr w:val="none" w:sz="0" w:space="0" w:color="auto"/>
    </w:rPr>
  </w:style>
  <w:style w:type="table" w:customStyle="1" w:styleId="TableGrid1">
    <w:name w:val="Table Grid1"/>
    <w:basedOn w:val="a2"/>
    <w:next w:val="aa"/>
    <w:uiPriority w:val="39"/>
    <w:rsid w:val="008275EC"/>
    <w:pPr>
      <w:pBdr>
        <w:top w:val="nil"/>
        <w:left w:val="nil"/>
        <w:bottom w:val="nil"/>
        <w:right w:val="nil"/>
        <w:between w:val="nil"/>
        <w:bar w:val="nil"/>
      </w:pBdr>
    </w:pPr>
    <w:rPr>
      <w:rFonts w:ascii="Times New Roman" w:eastAsia="Arial Unicode MS" w:hAnsi="Times New Roman"/>
      <w:bdr w:val="ni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2-Accent11">
    <w:name w:val="List Table 2 - Accent 11"/>
    <w:basedOn w:val="a2"/>
    <w:next w:val="ListTable2Accent1"/>
    <w:uiPriority w:val="47"/>
    <w:rsid w:val="008275EC"/>
    <w:pPr>
      <w:pBdr>
        <w:top w:val="nil"/>
        <w:left w:val="nil"/>
        <w:bottom w:val="nil"/>
        <w:right w:val="nil"/>
        <w:between w:val="nil"/>
        <w:bar w:val="nil"/>
      </w:pBdr>
    </w:pPr>
    <w:rPr>
      <w:rFonts w:ascii="Times New Roman" w:eastAsia="Arial Unicode MS" w:hAnsi="Times New Roman"/>
      <w:bdr w:val="nil"/>
    </w:rPr>
    <w:tblPr>
      <w:tblStyleRowBandSize w:val="1"/>
      <w:tblStyleColBandSize w:val="1"/>
      <w:tblInd w:w="0" w:type="dxa"/>
      <w:tblBorders>
        <w:top w:val="single" w:sz="4" w:space="0" w:color="66C7FF"/>
        <w:bottom w:val="single" w:sz="4" w:space="0" w:color="66C7FF"/>
        <w:insideH w:val="single" w:sz="4" w:space="0" w:color="66C7FF"/>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ECFF"/>
      </w:tcPr>
    </w:tblStylePr>
    <w:tblStylePr w:type="band1Horz">
      <w:tblPr/>
      <w:tcPr>
        <w:shd w:val="clear" w:color="auto" w:fill="CCECFF"/>
      </w:tcPr>
    </w:tblStylePr>
  </w:style>
  <w:style w:type="paragraph" w:styleId="af2">
    <w:name w:val="List Paragraph"/>
    <w:basedOn w:val="a"/>
    <w:uiPriority w:val="34"/>
    <w:qFormat/>
    <w:rsid w:val="008275EC"/>
    <w:pPr>
      <w:ind w:left="720"/>
      <w:contextualSpacing/>
    </w:pPr>
  </w:style>
  <w:style w:type="paragraph" w:styleId="af4">
    <w:name w:val="annotation text"/>
    <w:basedOn w:val="a"/>
    <w:link w:val="Char7"/>
    <w:semiHidden/>
    <w:unhideWhenUsed/>
    <w:rsid w:val="008275EC"/>
    <w:pPr>
      <w:spacing w:line="240" w:lineRule="auto"/>
    </w:pPr>
    <w:rPr>
      <w:sz w:val="20"/>
    </w:rPr>
  </w:style>
  <w:style w:type="character" w:customStyle="1" w:styleId="Char7">
    <w:name w:val="Κείμενο σχολίου Char"/>
    <w:basedOn w:val="a1"/>
    <w:link w:val="af4"/>
    <w:semiHidden/>
    <w:rsid w:val="008275EC"/>
    <w:rPr>
      <w:rFonts w:ascii="Times New Roman" w:hAnsi="Times New Roman"/>
    </w:rPr>
  </w:style>
  <w:style w:type="paragraph" w:styleId="af7">
    <w:name w:val="No Spacing"/>
    <w:uiPriority w:val="1"/>
    <w:qFormat/>
    <w:rsid w:val="008275EC"/>
    <w:pPr>
      <w:ind w:firstLine="720"/>
      <w:jc w:val="both"/>
    </w:pPr>
    <w:rPr>
      <w:rFonts w:ascii="Times New Roman" w:hAnsi="Times New Roman"/>
      <w:sz w:val="24"/>
    </w:rPr>
  </w:style>
  <w:style w:type="table" w:customStyle="1" w:styleId="ListTable2Accent1">
    <w:name w:val="List Table 2 Accent 1"/>
    <w:basedOn w:val="a2"/>
    <w:uiPriority w:val="47"/>
    <w:rsid w:val="008275EC"/>
    <w:tblPr>
      <w:tblStyleRowBandSize w:val="1"/>
      <w:tblStyleColBandSize w:val="1"/>
      <w:tblInd w:w="0" w:type="dxa"/>
      <w:tblBorders>
        <w:top w:val="single" w:sz="4" w:space="0" w:color="95B3D7" w:themeColor="accent1" w:themeTint="99"/>
        <w:bottom w:val="single" w:sz="4" w:space="0" w:color="95B3D7" w:themeColor="accent1" w:themeTint="99"/>
        <w:insideH w:val="single" w:sz="4" w:space="0" w:color="95B3D7" w:themeColor="accen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84938">
      <w:bodyDiv w:val="1"/>
      <w:marLeft w:val="0"/>
      <w:marRight w:val="0"/>
      <w:marTop w:val="0"/>
      <w:marBottom w:val="0"/>
      <w:divBdr>
        <w:top w:val="none" w:sz="0" w:space="0" w:color="auto"/>
        <w:left w:val="none" w:sz="0" w:space="0" w:color="auto"/>
        <w:bottom w:val="none" w:sz="0" w:space="0" w:color="auto"/>
        <w:right w:val="none" w:sz="0" w:space="0" w:color="auto"/>
      </w:divBdr>
    </w:div>
    <w:div w:id="151989857">
      <w:bodyDiv w:val="1"/>
      <w:marLeft w:val="0"/>
      <w:marRight w:val="0"/>
      <w:marTop w:val="0"/>
      <w:marBottom w:val="0"/>
      <w:divBdr>
        <w:top w:val="none" w:sz="0" w:space="0" w:color="auto"/>
        <w:left w:val="none" w:sz="0" w:space="0" w:color="auto"/>
        <w:bottom w:val="none" w:sz="0" w:space="0" w:color="auto"/>
        <w:right w:val="none" w:sz="0" w:space="0" w:color="auto"/>
      </w:divBdr>
    </w:div>
    <w:div w:id="194512510">
      <w:bodyDiv w:val="1"/>
      <w:marLeft w:val="0"/>
      <w:marRight w:val="0"/>
      <w:marTop w:val="0"/>
      <w:marBottom w:val="0"/>
      <w:divBdr>
        <w:top w:val="none" w:sz="0" w:space="0" w:color="auto"/>
        <w:left w:val="none" w:sz="0" w:space="0" w:color="auto"/>
        <w:bottom w:val="none" w:sz="0" w:space="0" w:color="auto"/>
        <w:right w:val="none" w:sz="0" w:space="0" w:color="auto"/>
      </w:divBdr>
    </w:div>
    <w:div w:id="257494759">
      <w:bodyDiv w:val="1"/>
      <w:marLeft w:val="0"/>
      <w:marRight w:val="0"/>
      <w:marTop w:val="0"/>
      <w:marBottom w:val="0"/>
      <w:divBdr>
        <w:top w:val="none" w:sz="0" w:space="0" w:color="auto"/>
        <w:left w:val="none" w:sz="0" w:space="0" w:color="auto"/>
        <w:bottom w:val="none" w:sz="0" w:space="0" w:color="auto"/>
        <w:right w:val="none" w:sz="0" w:space="0" w:color="auto"/>
      </w:divBdr>
    </w:div>
    <w:div w:id="321393333">
      <w:bodyDiv w:val="1"/>
      <w:marLeft w:val="0"/>
      <w:marRight w:val="0"/>
      <w:marTop w:val="0"/>
      <w:marBottom w:val="0"/>
      <w:divBdr>
        <w:top w:val="none" w:sz="0" w:space="0" w:color="auto"/>
        <w:left w:val="none" w:sz="0" w:space="0" w:color="auto"/>
        <w:bottom w:val="none" w:sz="0" w:space="0" w:color="auto"/>
        <w:right w:val="none" w:sz="0" w:space="0" w:color="auto"/>
      </w:divBdr>
    </w:div>
    <w:div w:id="347760694">
      <w:bodyDiv w:val="1"/>
      <w:marLeft w:val="0"/>
      <w:marRight w:val="0"/>
      <w:marTop w:val="0"/>
      <w:marBottom w:val="0"/>
      <w:divBdr>
        <w:top w:val="none" w:sz="0" w:space="0" w:color="auto"/>
        <w:left w:val="none" w:sz="0" w:space="0" w:color="auto"/>
        <w:bottom w:val="none" w:sz="0" w:space="0" w:color="auto"/>
        <w:right w:val="none" w:sz="0" w:space="0" w:color="auto"/>
      </w:divBdr>
    </w:div>
    <w:div w:id="374700406">
      <w:bodyDiv w:val="1"/>
      <w:marLeft w:val="0"/>
      <w:marRight w:val="0"/>
      <w:marTop w:val="0"/>
      <w:marBottom w:val="0"/>
      <w:divBdr>
        <w:top w:val="none" w:sz="0" w:space="0" w:color="auto"/>
        <w:left w:val="none" w:sz="0" w:space="0" w:color="auto"/>
        <w:bottom w:val="none" w:sz="0" w:space="0" w:color="auto"/>
        <w:right w:val="none" w:sz="0" w:space="0" w:color="auto"/>
      </w:divBdr>
    </w:div>
    <w:div w:id="405761034">
      <w:bodyDiv w:val="1"/>
      <w:marLeft w:val="0"/>
      <w:marRight w:val="0"/>
      <w:marTop w:val="0"/>
      <w:marBottom w:val="0"/>
      <w:divBdr>
        <w:top w:val="none" w:sz="0" w:space="0" w:color="auto"/>
        <w:left w:val="none" w:sz="0" w:space="0" w:color="auto"/>
        <w:bottom w:val="none" w:sz="0" w:space="0" w:color="auto"/>
        <w:right w:val="none" w:sz="0" w:space="0" w:color="auto"/>
      </w:divBdr>
    </w:div>
    <w:div w:id="710418703">
      <w:bodyDiv w:val="1"/>
      <w:marLeft w:val="0"/>
      <w:marRight w:val="0"/>
      <w:marTop w:val="0"/>
      <w:marBottom w:val="0"/>
      <w:divBdr>
        <w:top w:val="none" w:sz="0" w:space="0" w:color="auto"/>
        <w:left w:val="none" w:sz="0" w:space="0" w:color="auto"/>
        <w:bottom w:val="none" w:sz="0" w:space="0" w:color="auto"/>
        <w:right w:val="none" w:sz="0" w:space="0" w:color="auto"/>
      </w:divBdr>
    </w:div>
    <w:div w:id="723482294">
      <w:bodyDiv w:val="1"/>
      <w:marLeft w:val="0"/>
      <w:marRight w:val="0"/>
      <w:marTop w:val="0"/>
      <w:marBottom w:val="0"/>
      <w:divBdr>
        <w:top w:val="none" w:sz="0" w:space="0" w:color="auto"/>
        <w:left w:val="none" w:sz="0" w:space="0" w:color="auto"/>
        <w:bottom w:val="none" w:sz="0" w:space="0" w:color="auto"/>
        <w:right w:val="none" w:sz="0" w:space="0" w:color="auto"/>
      </w:divBdr>
    </w:div>
    <w:div w:id="778645013">
      <w:bodyDiv w:val="1"/>
      <w:marLeft w:val="0"/>
      <w:marRight w:val="0"/>
      <w:marTop w:val="0"/>
      <w:marBottom w:val="0"/>
      <w:divBdr>
        <w:top w:val="none" w:sz="0" w:space="0" w:color="auto"/>
        <w:left w:val="none" w:sz="0" w:space="0" w:color="auto"/>
        <w:bottom w:val="none" w:sz="0" w:space="0" w:color="auto"/>
        <w:right w:val="none" w:sz="0" w:space="0" w:color="auto"/>
      </w:divBdr>
    </w:div>
    <w:div w:id="808548160">
      <w:bodyDiv w:val="1"/>
      <w:marLeft w:val="0"/>
      <w:marRight w:val="0"/>
      <w:marTop w:val="0"/>
      <w:marBottom w:val="0"/>
      <w:divBdr>
        <w:top w:val="none" w:sz="0" w:space="0" w:color="auto"/>
        <w:left w:val="none" w:sz="0" w:space="0" w:color="auto"/>
        <w:bottom w:val="none" w:sz="0" w:space="0" w:color="auto"/>
        <w:right w:val="none" w:sz="0" w:space="0" w:color="auto"/>
      </w:divBdr>
      <w:divsChild>
        <w:div w:id="58014956">
          <w:marLeft w:val="0"/>
          <w:marRight w:val="0"/>
          <w:marTop w:val="0"/>
          <w:marBottom w:val="0"/>
          <w:divBdr>
            <w:top w:val="none" w:sz="0" w:space="0" w:color="auto"/>
            <w:left w:val="none" w:sz="0" w:space="0" w:color="auto"/>
            <w:bottom w:val="none" w:sz="0" w:space="0" w:color="auto"/>
            <w:right w:val="none" w:sz="0" w:space="0" w:color="auto"/>
          </w:divBdr>
        </w:div>
        <w:div w:id="1114911050">
          <w:marLeft w:val="0"/>
          <w:marRight w:val="0"/>
          <w:marTop w:val="0"/>
          <w:marBottom w:val="0"/>
          <w:divBdr>
            <w:top w:val="none" w:sz="0" w:space="0" w:color="auto"/>
            <w:left w:val="none" w:sz="0" w:space="0" w:color="auto"/>
            <w:bottom w:val="none" w:sz="0" w:space="0" w:color="auto"/>
            <w:right w:val="none" w:sz="0" w:space="0" w:color="auto"/>
          </w:divBdr>
        </w:div>
        <w:div w:id="1996452478">
          <w:marLeft w:val="0"/>
          <w:marRight w:val="0"/>
          <w:marTop w:val="0"/>
          <w:marBottom w:val="0"/>
          <w:divBdr>
            <w:top w:val="none" w:sz="0" w:space="0" w:color="auto"/>
            <w:left w:val="none" w:sz="0" w:space="0" w:color="auto"/>
            <w:bottom w:val="none" w:sz="0" w:space="0" w:color="auto"/>
            <w:right w:val="none" w:sz="0" w:space="0" w:color="auto"/>
          </w:divBdr>
        </w:div>
        <w:div w:id="1695956283">
          <w:marLeft w:val="0"/>
          <w:marRight w:val="0"/>
          <w:marTop w:val="0"/>
          <w:marBottom w:val="0"/>
          <w:divBdr>
            <w:top w:val="none" w:sz="0" w:space="0" w:color="auto"/>
            <w:left w:val="none" w:sz="0" w:space="0" w:color="auto"/>
            <w:bottom w:val="none" w:sz="0" w:space="0" w:color="auto"/>
            <w:right w:val="none" w:sz="0" w:space="0" w:color="auto"/>
          </w:divBdr>
        </w:div>
        <w:div w:id="305358966">
          <w:marLeft w:val="0"/>
          <w:marRight w:val="0"/>
          <w:marTop w:val="0"/>
          <w:marBottom w:val="0"/>
          <w:divBdr>
            <w:top w:val="none" w:sz="0" w:space="0" w:color="auto"/>
            <w:left w:val="none" w:sz="0" w:space="0" w:color="auto"/>
            <w:bottom w:val="none" w:sz="0" w:space="0" w:color="auto"/>
            <w:right w:val="none" w:sz="0" w:space="0" w:color="auto"/>
          </w:divBdr>
        </w:div>
      </w:divsChild>
    </w:div>
    <w:div w:id="832600695">
      <w:bodyDiv w:val="1"/>
      <w:marLeft w:val="0"/>
      <w:marRight w:val="0"/>
      <w:marTop w:val="0"/>
      <w:marBottom w:val="0"/>
      <w:divBdr>
        <w:top w:val="none" w:sz="0" w:space="0" w:color="auto"/>
        <w:left w:val="none" w:sz="0" w:space="0" w:color="auto"/>
        <w:bottom w:val="none" w:sz="0" w:space="0" w:color="auto"/>
        <w:right w:val="none" w:sz="0" w:space="0" w:color="auto"/>
      </w:divBdr>
    </w:div>
    <w:div w:id="854684596">
      <w:bodyDiv w:val="1"/>
      <w:marLeft w:val="0"/>
      <w:marRight w:val="0"/>
      <w:marTop w:val="0"/>
      <w:marBottom w:val="0"/>
      <w:divBdr>
        <w:top w:val="none" w:sz="0" w:space="0" w:color="auto"/>
        <w:left w:val="none" w:sz="0" w:space="0" w:color="auto"/>
        <w:bottom w:val="none" w:sz="0" w:space="0" w:color="auto"/>
        <w:right w:val="none" w:sz="0" w:space="0" w:color="auto"/>
      </w:divBdr>
    </w:div>
    <w:div w:id="961306050">
      <w:bodyDiv w:val="1"/>
      <w:marLeft w:val="0"/>
      <w:marRight w:val="0"/>
      <w:marTop w:val="0"/>
      <w:marBottom w:val="0"/>
      <w:divBdr>
        <w:top w:val="none" w:sz="0" w:space="0" w:color="auto"/>
        <w:left w:val="none" w:sz="0" w:space="0" w:color="auto"/>
        <w:bottom w:val="none" w:sz="0" w:space="0" w:color="auto"/>
        <w:right w:val="none" w:sz="0" w:space="0" w:color="auto"/>
      </w:divBdr>
    </w:div>
    <w:div w:id="966735412">
      <w:bodyDiv w:val="1"/>
      <w:marLeft w:val="0"/>
      <w:marRight w:val="0"/>
      <w:marTop w:val="0"/>
      <w:marBottom w:val="0"/>
      <w:divBdr>
        <w:top w:val="none" w:sz="0" w:space="0" w:color="auto"/>
        <w:left w:val="none" w:sz="0" w:space="0" w:color="auto"/>
        <w:bottom w:val="none" w:sz="0" w:space="0" w:color="auto"/>
        <w:right w:val="none" w:sz="0" w:space="0" w:color="auto"/>
      </w:divBdr>
    </w:div>
    <w:div w:id="1020274146">
      <w:bodyDiv w:val="1"/>
      <w:marLeft w:val="0"/>
      <w:marRight w:val="0"/>
      <w:marTop w:val="0"/>
      <w:marBottom w:val="0"/>
      <w:divBdr>
        <w:top w:val="none" w:sz="0" w:space="0" w:color="auto"/>
        <w:left w:val="none" w:sz="0" w:space="0" w:color="auto"/>
        <w:bottom w:val="none" w:sz="0" w:space="0" w:color="auto"/>
        <w:right w:val="none" w:sz="0" w:space="0" w:color="auto"/>
      </w:divBdr>
    </w:div>
    <w:div w:id="1049110510">
      <w:bodyDiv w:val="1"/>
      <w:marLeft w:val="0"/>
      <w:marRight w:val="0"/>
      <w:marTop w:val="0"/>
      <w:marBottom w:val="0"/>
      <w:divBdr>
        <w:top w:val="none" w:sz="0" w:space="0" w:color="auto"/>
        <w:left w:val="none" w:sz="0" w:space="0" w:color="auto"/>
        <w:bottom w:val="none" w:sz="0" w:space="0" w:color="auto"/>
        <w:right w:val="none" w:sz="0" w:space="0" w:color="auto"/>
      </w:divBdr>
    </w:div>
    <w:div w:id="1077750870">
      <w:bodyDiv w:val="1"/>
      <w:marLeft w:val="0"/>
      <w:marRight w:val="0"/>
      <w:marTop w:val="0"/>
      <w:marBottom w:val="0"/>
      <w:divBdr>
        <w:top w:val="none" w:sz="0" w:space="0" w:color="auto"/>
        <w:left w:val="none" w:sz="0" w:space="0" w:color="auto"/>
        <w:bottom w:val="none" w:sz="0" w:space="0" w:color="auto"/>
        <w:right w:val="none" w:sz="0" w:space="0" w:color="auto"/>
      </w:divBdr>
    </w:div>
    <w:div w:id="1090199336">
      <w:bodyDiv w:val="1"/>
      <w:marLeft w:val="0"/>
      <w:marRight w:val="0"/>
      <w:marTop w:val="0"/>
      <w:marBottom w:val="0"/>
      <w:divBdr>
        <w:top w:val="none" w:sz="0" w:space="0" w:color="auto"/>
        <w:left w:val="none" w:sz="0" w:space="0" w:color="auto"/>
        <w:bottom w:val="none" w:sz="0" w:space="0" w:color="auto"/>
        <w:right w:val="none" w:sz="0" w:space="0" w:color="auto"/>
      </w:divBdr>
    </w:div>
    <w:div w:id="1237009470">
      <w:bodyDiv w:val="1"/>
      <w:marLeft w:val="0"/>
      <w:marRight w:val="0"/>
      <w:marTop w:val="0"/>
      <w:marBottom w:val="0"/>
      <w:divBdr>
        <w:top w:val="none" w:sz="0" w:space="0" w:color="auto"/>
        <w:left w:val="none" w:sz="0" w:space="0" w:color="auto"/>
        <w:bottom w:val="none" w:sz="0" w:space="0" w:color="auto"/>
        <w:right w:val="none" w:sz="0" w:space="0" w:color="auto"/>
      </w:divBdr>
    </w:div>
    <w:div w:id="1267692747">
      <w:bodyDiv w:val="1"/>
      <w:marLeft w:val="0"/>
      <w:marRight w:val="0"/>
      <w:marTop w:val="0"/>
      <w:marBottom w:val="0"/>
      <w:divBdr>
        <w:top w:val="none" w:sz="0" w:space="0" w:color="auto"/>
        <w:left w:val="none" w:sz="0" w:space="0" w:color="auto"/>
        <w:bottom w:val="none" w:sz="0" w:space="0" w:color="auto"/>
        <w:right w:val="none" w:sz="0" w:space="0" w:color="auto"/>
      </w:divBdr>
    </w:div>
    <w:div w:id="1288975534">
      <w:bodyDiv w:val="1"/>
      <w:marLeft w:val="0"/>
      <w:marRight w:val="0"/>
      <w:marTop w:val="0"/>
      <w:marBottom w:val="0"/>
      <w:divBdr>
        <w:top w:val="none" w:sz="0" w:space="0" w:color="auto"/>
        <w:left w:val="none" w:sz="0" w:space="0" w:color="auto"/>
        <w:bottom w:val="none" w:sz="0" w:space="0" w:color="auto"/>
        <w:right w:val="none" w:sz="0" w:space="0" w:color="auto"/>
      </w:divBdr>
    </w:div>
    <w:div w:id="1334801258">
      <w:bodyDiv w:val="1"/>
      <w:marLeft w:val="0"/>
      <w:marRight w:val="0"/>
      <w:marTop w:val="0"/>
      <w:marBottom w:val="0"/>
      <w:divBdr>
        <w:top w:val="none" w:sz="0" w:space="0" w:color="auto"/>
        <w:left w:val="none" w:sz="0" w:space="0" w:color="auto"/>
        <w:bottom w:val="none" w:sz="0" w:space="0" w:color="auto"/>
        <w:right w:val="none" w:sz="0" w:space="0" w:color="auto"/>
      </w:divBdr>
    </w:div>
    <w:div w:id="1402214410">
      <w:bodyDiv w:val="1"/>
      <w:marLeft w:val="0"/>
      <w:marRight w:val="0"/>
      <w:marTop w:val="0"/>
      <w:marBottom w:val="0"/>
      <w:divBdr>
        <w:top w:val="none" w:sz="0" w:space="0" w:color="auto"/>
        <w:left w:val="none" w:sz="0" w:space="0" w:color="auto"/>
        <w:bottom w:val="none" w:sz="0" w:space="0" w:color="auto"/>
        <w:right w:val="none" w:sz="0" w:space="0" w:color="auto"/>
      </w:divBdr>
    </w:div>
    <w:div w:id="1432623714">
      <w:bodyDiv w:val="1"/>
      <w:marLeft w:val="0"/>
      <w:marRight w:val="0"/>
      <w:marTop w:val="0"/>
      <w:marBottom w:val="0"/>
      <w:divBdr>
        <w:top w:val="none" w:sz="0" w:space="0" w:color="auto"/>
        <w:left w:val="none" w:sz="0" w:space="0" w:color="auto"/>
        <w:bottom w:val="none" w:sz="0" w:space="0" w:color="auto"/>
        <w:right w:val="none" w:sz="0" w:space="0" w:color="auto"/>
      </w:divBdr>
    </w:div>
    <w:div w:id="1438939831">
      <w:bodyDiv w:val="1"/>
      <w:marLeft w:val="0"/>
      <w:marRight w:val="0"/>
      <w:marTop w:val="0"/>
      <w:marBottom w:val="0"/>
      <w:divBdr>
        <w:top w:val="none" w:sz="0" w:space="0" w:color="auto"/>
        <w:left w:val="none" w:sz="0" w:space="0" w:color="auto"/>
        <w:bottom w:val="none" w:sz="0" w:space="0" w:color="auto"/>
        <w:right w:val="none" w:sz="0" w:space="0" w:color="auto"/>
      </w:divBdr>
    </w:div>
    <w:div w:id="1500147575">
      <w:bodyDiv w:val="1"/>
      <w:marLeft w:val="0"/>
      <w:marRight w:val="0"/>
      <w:marTop w:val="0"/>
      <w:marBottom w:val="0"/>
      <w:divBdr>
        <w:top w:val="none" w:sz="0" w:space="0" w:color="auto"/>
        <w:left w:val="none" w:sz="0" w:space="0" w:color="auto"/>
        <w:bottom w:val="none" w:sz="0" w:space="0" w:color="auto"/>
        <w:right w:val="none" w:sz="0" w:space="0" w:color="auto"/>
      </w:divBdr>
    </w:div>
    <w:div w:id="1541431611">
      <w:bodyDiv w:val="1"/>
      <w:marLeft w:val="0"/>
      <w:marRight w:val="0"/>
      <w:marTop w:val="0"/>
      <w:marBottom w:val="0"/>
      <w:divBdr>
        <w:top w:val="none" w:sz="0" w:space="0" w:color="auto"/>
        <w:left w:val="none" w:sz="0" w:space="0" w:color="auto"/>
        <w:bottom w:val="none" w:sz="0" w:space="0" w:color="auto"/>
        <w:right w:val="none" w:sz="0" w:space="0" w:color="auto"/>
      </w:divBdr>
    </w:div>
    <w:div w:id="1578780629">
      <w:bodyDiv w:val="1"/>
      <w:marLeft w:val="0"/>
      <w:marRight w:val="0"/>
      <w:marTop w:val="0"/>
      <w:marBottom w:val="0"/>
      <w:divBdr>
        <w:top w:val="none" w:sz="0" w:space="0" w:color="auto"/>
        <w:left w:val="none" w:sz="0" w:space="0" w:color="auto"/>
        <w:bottom w:val="none" w:sz="0" w:space="0" w:color="auto"/>
        <w:right w:val="none" w:sz="0" w:space="0" w:color="auto"/>
      </w:divBdr>
    </w:div>
    <w:div w:id="1593203605">
      <w:bodyDiv w:val="1"/>
      <w:marLeft w:val="0"/>
      <w:marRight w:val="0"/>
      <w:marTop w:val="0"/>
      <w:marBottom w:val="0"/>
      <w:divBdr>
        <w:top w:val="none" w:sz="0" w:space="0" w:color="auto"/>
        <w:left w:val="none" w:sz="0" w:space="0" w:color="auto"/>
        <w:bottom w:val="none" w:sz="0" w:space="0" w:color="auto"/>
        <w:right w:val="none" w:sz="0" w:space="0" w:color="auto"/>
      </w:divBdr>
      <w:divsChild>
        <w:div w:id="911045564">
          <w:marLeft w:val="0"/>
          <w:marRight w:val="0"/>
          <w:marTop w:val="0"/>
          <w:marBottom w:val="0"/>
          <w:divBdr>
            <w:top w:val="none" w:sz="0" w:space="0" w:color="auto"/>
            <w:left w:val="none" w:sz="0" w:space="0" w:color="auto"/>
            <w:bottom w:val="none" w:sz="0" w:space="0" w:color="auto"/>
            <w:right w:val="none" w:sz="0" w:space="0" w:color="auto"/>
          </w:divBdr>
        </w:div>
        <w:div w:id="221911134">
          <w:marLeft w:val="0"/>
          <w:marRight w:val="0"/>
          <w:marTop w:val="0"/>
          <w:marBottom w:val="0"/>
          <w:divBdr>
            <w:top w:val="none" w:sz="0" w:space="0" w:color="auto"/>
            <w:left w:val="none" w:sz="0" w:space="0" w:color="auto"/>
            <w:bottom w:val="none" w:sz="0" w:space="0" w:color="auto"/>
            <w:right w:val="none" w:sz="0" w:space="0" w:color="auto"/>
          </w:divBdr>
        </w:div>
      </w:divsChild>
    </w:div>
    <w:div w:id="1625041430">
      <w:bodyDiv w:val="1"/>
      <w:marLeft w:val="0"/>
      <w:marRight w:val="0"/>
      <w:marTop w:val="0"/>
      <w:marBottom w:val="0"/>
      <w:divBdr>
        <w:top w:val="none" w:sz="0" w:space="0" w:color="auto"/>
        <w:left w:val="none" w:sz="0" w:space="0" w:color="auto"/>
        <w:bottom w:val="none" w:sz="0" w:space="0" w:color="auto"/>
        <w:right w:val="none" w:sz="0" w:space="0" w:color="auto"/>
      </w:divBdr>
    </w:div>
    <w:div w:id="1628589315">
      <w:bodyDiv w:val="1"/>
      <w:marLeft w:val="0"/>
      <w:marRight w:val="0"/>
      <w:marTop w:val="0"/>
      <w:marBottom w:val="0"/>
      <w:divBdr>
        <w:top w:val="none" w:sz="0" w:space="0" w:color="auto"/>
        <w:left w:val="none" w:sz="0" w:space="0" w:color="auto"/>
        <w:bottom w:val="none" w:sz="0" w:space="0" w:color="auto"/>
        <w:right w:val="none" w:sz="0" w:space="0" w:color="auto"/>
      </w:divBdr>
      <w:divsChild>
        <w:div w:id="1201163292">
          <w:marLeft w:val="0"/>
          <w:marRight w:val="0"/>
          <w:marTop w:val="0"/>
          <w:marBottom w:val="0"/>
          <w:divBdr>
            <w:top w:val="none" w:sz="0" w:space="0" w:color="auto"/>
            <w:left w:val="none" w:sz="0" w:space="0" w:color="auto"/>
            <w:bottom w:val="none" w:sz="0" w:space="0" w:color="auto"/>
            <w:right w:val="none" w:sz="0" w:space="0" w:color="auto"/>
          </w:divBdr>
        </w:div>
        <w:div w:id="2117678587">
          <w:marLeft w:val="0"/>
          <w:marRight w:val="0"/>
          <w:marTop w:val="0"/>
          <w:marBottom w:val="0"/>
          <w:divBdr>
            <w:top w:val="none" w:sz="0" w:space="0" w:color="auto"/>
            <w:left w:val="none" w:sz="0" w:space="0" w:color="auto"/>
            <w:bottom w:val="none" w:sz="0" w:space="0" w:color="auto"/>
            <w:right w:val="none" w:sz="0" w:space="0" w:color="auto"/>
          </w:divBdr>
        </w:div>
        <w:div w:id="2000234097">
          <w:marLeft w:val="0"/>
          <w:marRight w:val="0"/>
          <w:marTop w:val="0"/>
          <w:marBottom w:val="0"/>
          <w:divBdr>
            <w:top w:val="none" w:sz="0" w:space="0" w:color="auto"/>
            <w:left w:val="none" w:sz="0" w:space="0" w:color="auto"/>
            <w:bottom w:val="none" w:sz="0" w:space="0" w:color="auto"/>
            <w:right w:val="none" w:sz="0" w:space="0" w:color="auto"/>
          </w:divBdr>
        </w:div>
        <w:div w:id="1230535432">
          <w:marLeft w:val="0"/>
          <w:marRight w:val="0"/>
          <w:marTop w:val="0"/>
          <w:marBottom w:val="0"/>
          <w:divBdr>
            <w:top w:val="none" w:sz="0" w:space="0" w:color="auto"/>
            <w:left w:val="none" w:sz="0" w:space="0" w:color="auto"/>
            <w:bottom w:val="none" w:sz="0" w:space="0" w:color="auto"/>
            <w:right w:val="none" w:sz="0" w:space="0" w:color="auto"/>
          </w:divBdr>
        </w:div>
        <w:div w:id="262999192">
          <w:marLeft w:val="0"/>
          <w:marRight w:val="0"/>
          <w:marTop w:val="0"/>
          <w:marBottom w:val="0"/>
          <w:divBdr>
            <w:top w:val="none" w:sz="0" w:space="0" w:color="auto"/>
            <w:left w:val="none" w:sz="0" w:space="0" w:color="auto"/>
            <w:bottom w:val="none" w:sz="0" w:space="0" w:color="auto"/>
            <w:right w:val="none" w:sz="0" w:space="0" w:color="auto"/>
          </w:divBdr>
        </w:div>
        <w:div w:id="785659061">
          <w:marLeft w:val="0"/>
          <w:marRight w:val="0"/>
          <w:marTop w:val="0"/>
          <w:marBottom w:val="0"/>
          <w:divBdr>
            <w:top w:val="none" w:sz="0" w:space="0" w:color="auto"/>
            <w:left w:val="none" w:sz="0" w:space="0" w:color="auto"/>
            <w:bottom w:val="none" w:sz="0" w:space="0" w:color="auto"/>
            <w:right w:val="none" w:sz="0" w:space="0" w:color="auto"/>
          </w:divBdr>
        </w:div>
        <w:div w:id="496698155">
          <w:marLeft w:val="0"/>
          <w:marRight w:val="0"/>
          <w:marTop w:val="0"/>
          <w:marBottom w:val="0"/>
          <w:divBdr>
            <w:top w:val="none" w:sz="0" w:space="0" w:color="auto"/>
            <w:left w:val="none" w:sz="0" w:space="0" w:color="auto"/>
            <w:bottom w:val="none" w:sz="0" w:space="0" w:color="auto"/>
            <w:right w:val="none" w:sz="0" w:space="0" w:color="auto"/>
          </w:divBdr>
        </w:div>
        <w:div w:id="252512732">
          <w:marLeft w:val="0"/>
          <w:marRight w:val="0"/>
          <w:marTop w:val="0"/>
          <w:marBottom w:val="0"/>
          <w:divBdr>
            <w:top w:val="none" w:sz="0" w:space="0" w:color="auto"/>
            <w:left w:val="none" w:sz="0" w:space="0" w:color="auto"/>
            <w:bottom w:val="none" w:sz="0" w:space="0" w:color="auto"/>
            <w:right w:val="none" w:sz="0" w:space="0" w:color="auto"/>
          </w:divBdr>
        </w:div>
        <w:div w:id="902105833">
          <w:marLeft w:val="0"/>
          <w:marRight w:val="0"/>
          <w:marTop w:val="0"/>
          <w:marBottom w:val="0"/>
          <w:divBdr>
            <w:top w:val="none" w:sz="0" w:space="0" w:color="auto"/>
            <w:left w:val="none" w:sz="0" w:space="0" w:color="auto"/>
            <w:bottom w:val="none" w:sz="0" w:space="0" w:color="auto"/>
            <w:right w:val="none" w:sz="0" w:space="0" w:color="auto"/>
          </w:divBdr>
        </w:div>
        <w:div w:id="228422806">
          <w:marLeft w:val="0"/>
          <w:marRight w:val="0"/>
          <w:marTop w:val="0"/>
          <w:marBottom w:val="0"/>
          <w:divBdr>
            <w:top w:val="none" w:sz="0" w:space="0" w:color="auto"/>
            <w:left w:val="none" w:sz="0" w:space="0" w:color="auto"/>
            <w:bottom w:val="none" w:sz="0" w:space="0" w:color="auto"/>
            <w:right w:val="none" w:sz="0" w:space="0" w:color="auto"/>
          </w:divBdr>
        </w:div>
        <w:div w:id="1246182200">
          <w:marLeft w:val="0"/>
          <w:marRight w:val="0"/>
          <w:marTop w:val="0"/>
          <w:marBottom w:val="0"/>
          <w:divBdr>
            <w:top w:val="none" w:sz="0" w:space="0" w:color="auto"/>
            <w:left w:val="none" w:sz="0" w:space="0" w:color="auto"/>
            <w:bottom w:val="none" w:sz="0" w:space="0" w:color="auto"/>
            <w:right w:val="none" w:sz="0" w:space="0" w:color="auto"/>
          </w:divBdr>
        </w:div>
        <w:div w:id="1538394102">
          <w:marLeft w:val="0"/>
          <w:marRight w:val="0"/>
          <w:marTop w:val="0"/>
          <w:marBottom w:val="0"/>
          <w:divBdr>
            <w:top w:val="none" w:sz="0" w:space="0" w:color="auto"/>
            <w:left w:val="none" w:sz="0" w:space="0" w:color="auto"/>
            <w:bottom w:val="none" w:sz="0" w:space="0" w:color="auto"/>
            <w:right w:val="none" w:sz="0" w:space="0" w:color="auto"/>
          </w:divBdr>
        </w:div>
        <w:div w:id="1633244573">
          <w:marLeft w:val="0"/>
          <w:marRight w:val="0"/>
          <w:marTop w:val="0"/>
          <w:marBottom w:val="0"/>
          <w:divBdr>
            <w:top w:val="none" w:sz="0" w:space="0" w:color="auto"/>
            <w:left w:val="none" w:sz="0" w:space="0" w:color="auto"/>
            <w:bottom w:val="none" w:sz="0" w:space="0" w:color="auto"/>
            <w:right w:val="none" w:sz="0" w:space="0" w:color="auto"/>
          </w:divBdr>
        </w:div>
        <w:div w:id="118690461">
          <w:marLeft w:val="0"/>
          <w:marRight w:val="0"/>
          <w:marTop w:val="0"/>
          <w:marBottom w:val="0"/>
          <w:divBdr>
            <w:top w:val="none" w:sz="0" w:space="0" w:color="auto"/>
            <w:left w:val="none" w:sz="0" w:space="0" w:color="auto"/>
            <w:bottom w:val="none" w:sz="0" w:space="0" w:color="auto"/>
            <w:right w:val="none" w:sz="0" w:space="0" w:color="auto"/>
          </w:divBdr>
        </w:div>
        <w:div w:id="329141591">
          <w:marLeft w:val="0"/>
          <w:marRight w:val="0"/>
          <w:marTop w:val="0"/>
          <w:marBottom w:val="0"/>
          <w:divBdr>
            <w:top w:val="none" w:sz="0" w:space="0" w:color="auto"/>
            <w:left w:val="none" w:sz="0" w:space="0" w:color="auto"/>
            <w:bottom w:val="none" w:sz="0" w:space="0" w:color="auto"/>
            <w:right w:val="none" w:sz="0" w:space="0" w:color="auto"/>
          </w:divBdr>
        </w:div>
        <w:div w:id="837117138">
          <w:marLeft w:val="0"/>
          <w:marRight w:val="0"/>
          <w:marTop w:val="0"/>
          <w:marBottom w:val="0"/>
          <w:divBdr>
            <w:top w:val="none" w:sz="0" w:space="0" w:color="auto"/>
            <w:left w:val="none" w:sz="0" w:space="0" w:color="auto"/>
            <w:bottom w:val="none" w:sz="0" w:space="0" w:color="auto"/>
            <w:right w:val="none" w:sz="0" w:space="0" w:color="auto"/>
          </w:divBdr>
        </w:div>
        <w:div w:id="1669283">
          <w:marLeft w:val="0"/>
          <w:marRight w:val="0"/>
          <w:marTop w:val="0"/>
          <w:marBottom w:val="0"/>
          <w:divBdr>
            <w:top w:val="none" w:sz="0" w:space="0" w:color="auto"/>
            <w:left w:val="none" w:sz="0" w:space="0" w:color="auto"/>
            <w:bottom w:val="none" w:sz="0" w:space="0" w:color="auto"/>
            <w:right w:val="none" w:sz="0" w:space="0" w:color="auto"/>
          </w:divBdr>
        </w:div>
        <w:div w:id="545947238">
          <w:marLeft w:val="0"/>
          <w:marRight w:val="0"/>
          <w:marTop w:val="0"/>
          <w:marBottom w:val="0"/>
          <w:divBdr>
            <w:top w:val="none" w:sz="0" w:space="0" w:color="auto"/>
            <w:left w:val="none" w:sz="0" w:space="0" w:color="auto"/>
            <w:bottom w:val="none" w:sz="0" w:space="0" w:color="auto"/>
            <w:right w:val="none" w:sz="0" w:space="0" w:color="auto"/>
          </w:divBdr>
        </w:div>
        <w:div w:id="1200320652">
          <w:marLeft w:val="0"/>
          <w:marRight w:val="0"/>
          <w:marTop w:val="0"/>
          <w:marBottom w:val="0"/>
          <w:divBdr>
            <w:top w:val="none" w:sz="0" w:space="0" w:color="auto"/>
            <w:left w:val="none" w:sz="0" w:space="0" w:color="auto"/>
            <w:bottom w:val="none" w:sz="0" w:space="0" w:color="auto"/>
            <w:right w:val="none" w:sz="0" w:space="0" w:color="auto"/>
          </w:divBdr>
        </w:div>
      </w:divsChild>
    </w:div>
    <w:div w:id="1837725911">
      <w:bodyDiv w:val="1"/>
      <w:marLeft w:val="0"/>
      <w:marRight w:val="0"/>
      <w:marTop w:val="0"/>
      <w:marBottom w:val="0"/>
      <w:divBdr>
        <w:top w:val="none" w:sz="0" w:space="0" w:color="auto"/>
        <w:left w:val="none" w:sz="0" w:space="0" w:color="auto"/>
        <w:bottom w:val="none" w:sz="0" w:space="0" w:color="auto"/>
        <w:right w:val="none" w:sz="0" w:space="0" w:color="auto"/>
      </w:divBdr>
    </w:div>
    <w:div w:id="1960262620">
      <w:bodyDiv w:val="1"/>
      <w:marLeft w:val="0"/>
      <w:marRight w:val="0"/>
      <w:marTop w:val="0"/>
      <w:marBottom w:val="0"/>
      <w:divBdr>
        <w:top w:val="none" w:sz="0" w:space="0" w:color="auto"/>
        <w:left w:val="none" w:sz="0" w:space="0" w:color="auto"/>
        <w:bottom w:val="none" w:sz="0" w:space="0" w:color="auto"/>
        <w:right w:val="none" w:sz="0" w:space="0" w:color="auto"/>
      </w:divBdr>
    </w:div>
    <w:div w:id="1963881550">
      <w:bodyDiv w:val="1"/>
      <w:marLeft w:val="0"/>
      <w:marRight w:val="0"/>
      <w:marTop w:val="0"/>
      <w:marBottom w:val="0"/>
      <w:divBdr>
        <w:top w:val="none" w:sz="0" w:space="0" w:color="auto"/>
        <w:left w:val="none" w:sz="0" w:space="0" w:color="auto"/>
        <w:bottom w:val="none" w:sz="0" w:space="0" w:color="auto"/>
        <w:right w:val="none" w:sz="0" w:space="0" w:color="auto"/>
      </w:divBdr>
    </w:div>
    <w:div w:id="2009747978">
      <w:bodyDiv w:val="1"/>
      <w:marLeft w:val="0"/>
      <w:marRight w:val="0"/>
      <w:marTop w:val="0"/>
      <w:marBottom w:val="0"/>
      <w:divBdr>
        <w:top w:val="none" w:sz="0" w:space="0" w:color="auto"/>
        <w:left w:val="none" w:sz="0" w:space="0" w:color="auto"/>
        <w:bottom w:val="none" w:sz="0" w:space="0" w:color="auto"/>
        <w:right w:val="none" w:sz="0" w:space="0" w:color="auto"/>
      </w:divBdr>
    </w:div>
    <w:div w:id="2040545241">
      <w:bodyDiv w:val="1"/>
      <w:marLeft w:val="0"/>
      <w:marRight w:val="0"/>
      <w:marTop w:val="0"/>
      <w:marBottom w:val="0"/>
      <w:divBdr>
        <w:top w:val="none" w:sz="0" w:space="0" w:color="auto"/>
        <w:left w:val="none" w:sz="0" w:space="0" w:color="auto"/>
        <w:bottom w:val="none" w:sz="0" w:space="0" w:color="auto"/>
        <w:right w:val="none" w:sz="0" w:space="0" w:color="auto"/>
      </w:divBdr>
    </w:div>
    <w:div w:id="2042167697">
      <w:bodyDiv w:val="1"/>
      <w:marLeft w:val="0"/>
      <w:marRight w:val="0"/>
      <w:marTop w:val="0"/>
      <w:marBottom w:val="0"/>
      <w:divBdr>
        <w:top w:val="none" w:sz="0" w:space="0" w:color="auto"/>
        <w:left w:val="none" w:sz="0" w:space="0" w:color="auto"/>
        <w:bottom w:val="none" w:sz="0" w:space="0" w:color="auto"/>
        <w:right w:val="none" w:sz="0" w:space="0" w:color="auto"/>
      </w:divBdr>
    </w:div>
    <w:div w:id="2058970049">
      <w:bodyDiv w:val="1"/>
      <w:marLeft w:val="0"/>
      <w:marRight w:val="0"/>
      <w:marTop w:val="0"/>
      <w:marBottom w:val="0"/>
      <w:divBdr>
        <w:top w:val="none" w:sz="0" w:space="0" w:color="auto"/>
        <w:left w:val="none" w:sz="0" w:space="0" w:color="auto"/>
        <w:bottom w:val="none" w:sz="0" w:space="0" w:color="auto"/>
        <w:right w:val="none" w:sz="0" w:space="0" w:color="auto"/>
      </w:divBdr>
    </w:div>
    <w:div w:id="2074965654">
      <w:bodyDiv w:val="1"/>
      <w:marLeft w:val="0"/>
      <w:marRight w:val="0"/>
      <w:marTop w:val="0"/>
      <w:marBottom w:val="0"/>
      <w:divBdr>
        <w:top w:val="none" w:sz="0" w:space="0" w:color="auto"/>
        <w:left w:val="none" w:sz="0" w:space="0" w:color="auto"/>
        <w:bottom w:val="none" w:sz="0" w:space="0" w:color="auto"/>
        <w:right w:val="none" w:sz="0" w:space="0" w:color="auto"/>
      </w:divBdr>
    </w:div>
    <w:div w:id="2115200075">
      <w:bodyDiv w:val="1"/>
      <w:marLeft w:val="0"/>
      <w:marRight w:val="0"/>
      <w:marTop w:val="0"/>
      <w:marBottom w:val="0"/>
      <w:divBdr>
        <w:top w:val="none" w:sz="0" w:space="0" w:color="auto"/>
        <w:left w:val="none" w:sz="0" w:space="0" w:color="auto"/>
        <w:bottom w:val="none" w:sz="0" w:space="0" w:color="auto"/>
        <w:right w:val="none" w:sz="0" w:space="0" w:color="auto"/>
      </w:divBdr>
      <w:divsChild>
        <w:div w:id="1493987868">
          <w:marLeft w:val="0"/>
          <w:marRight w:val="0"/>
          <w:marTop w:val="0"/>
          <w:marBottom w:val="0"/>
          <w:divBdr>
            <w:top w:val="none" w:sz="0" w:space="0" w:color="auto"/>
            <w:left w:val="none" w:sz="0" w:space="0" w:color="auto"/>
            <w:bottom w:val="none" w:sz="0" w:space="0" w:color="auto"/>
            <w:right w:val="none" w:sz="0" w:space="0" w:color="auto"/>
          </w:divBdr>
        </w:div>
        <w:div w:id="958797248">
          <w:marLeft w:val="0"/>
          <w:marRight w:val="0"/>
          <w:marTop w:val="0"/>
          <w:marBottom w:val="0"/>
          <w:divBdr>
            <w:top w:val="none" w:sz="0" w:space="0" w:color="auto"/>
            <w:left w:val="none" w:sz="0" w:space="0" w:color="auto"/>
            <w:bottom w:val="none" w:sz="0" w:space="0" w:color="auto"/>
            <w:right w:val="none" w:sz="0" w:space="0" w:color="auto"/>
          </w:divBdr>
        </w:div>
        <w:div w:id="1969821822">
          <w:marLeft w:val="0"/>
          <w:marRight w:val="0"/>
          <w:marTop w:val="0"/>
          <w:marBottom w:val="0"/>
          <w:divBdr>
            <w:top w:val="none" w:sz="0" w:space="0" w:color="auto"/>
            <w:left w:val="none" w:sz="0" w:space="0" w:color="auto"/>
            <w:bottom w:val="none" w:sz="0" w:space="0" w:color="auto"/>
            <w:right w:val="none" w:sz="0" w:space="0" w:color="auto"/>
          </w:divBdr>
        </w:div>
        <w:div w:id="372851874">
          <w:marLeft w:val="0"/>
          <w:marRight w:val="0"/>
          <w:marTop w:val="0"/>
          <w:marBottom w:val="0"/>
          <w:divBdr>
            <w:top w:val="none" w:sz="0" w:space="0" w:color="auto"/>
            <w:left w:val="none" w:sz="0" w:space="0" w:color="auto"/>
            <w:bottom w:val="none" w:sz="0" w:space="0" w:color="auto"/>
            <w:right w:val="none" w:sz="0" w:space="0" w:color="auto"/>
          </w:divBdr>
        </w:div>
        <w:div w:id="258759700">
          <w:marLeft w:val="0"/>
          <w:marRight w:val="0"/>
          <w:marTop w:val="0"/>
          <w:marBottom w:val="0"/>
          <w:divBdr>
            <w:top w:val="none" w:sz="0" w:space="0" w:color="auto"/>
            <w:left w:val="none" w:sz="0" w:space="0" w:color="auto"/>
            <w:bottom w:val="none" w:sz="0" w:space="0" w:color="auto"/>
            <w:right w:val="none" w:sz="0" w:space="0" w:color="auto"/>
          </w:divBdr>
        </w:div>
        <w:div w:id="526605768">
          <w:marLeft w:val="0"/>
          <w:marRight w:val="0"/>
          <w:marTop w:val="0"/>
          <w:marBottom w:val="0"/>
          <w:divBdr>
            <w:top w:val="none" w:sz="0" w:space="0" w:color="auto"/>
            <w:left w:val="none" w:sz="0" w:space="0" w:color="auto"/>
            <w:bottom w:val="none" w:sz="0" w:space="0" w:color="auto"/>
            <w:right w:val="none" w:sz="0" w:space="0" w:color="auto"/>
          </w:divBdr>
        </w:div>
        <w:div w:id="1584802823">
          <w:marLeft w:val="0"/>
          <w:marRight w:val="0"/>
          <w:marTop w:val="0"/>
          <w:marBottom w:val="0"/>
          <w:divBdr>
            <w:top w:val="none" w:sz="0" w:space="0" w:color="auto"/>
            <w:left w:val="none" w:sz="0" w:space="0" w:color="auto"/>
            <w:bottom w:val="none" w:sz="0" w:space="0" w:color="auto"/>
            <w:right w:val="none" w:sz="0" w:space="0" w:color="auto"/>
          </w:divBdr>
        </w:div>
        <w:div w:id="2345603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3" Type="http://schemas.openxmlformats.org/officeDocument/2006/relationships/numbering" Target="numbering.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GEO\AppData\Roaming\Microsoft\Templates\&#924;&#959;&#961;&#966;&#942;%20&#949;&#961;&#947;&#945;&#963;&#943;&#945;&#962;%20AP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b:Source>
    <b:Tag>ωγγ56</b:Tag>
    <b:SourceType>Book</b:SourceType>
    <b:Guid>{5F249623-BC37-4C06-B81B-CC1350E7B720}</b:Guid>
    <b:Title>ωγγφυγιυ</b:Title>
    <b:Year>1556</b:Year>
    <b:City>ψγξ</b:City>
    <b:Publisher>ψωηψω</b:Publisher>
    <b:RefOrder>2</b:RefOrder>
  </b:Source>
  <b:Source>
    <b:Tag>Κράτηση_θέσης1</b:Tag>
    <b:SourceType>Book</b:SourceType>
    <b:Guid>{7AFAB337-0916-4FD6-99E9-5FB9479F0A69}</b:Guid>
    <b:RefOrder>3</b:RefOrder>
  </b:Source>
  <b:Source>
    <b:Tag>Har83</b:Tag>
    <b:SourceType>ArticleInAPeriodical</b:SourceType>
    <b:Guid>{5C006538-2722-41C7-823D-FD8DB6C3CE2F}</b:Guid>
    <b:Author>
      <b:Author>
        <b:NameList>
          <b:Person>
            <b:Last>Harlow</b:Last>
            <b:First>H.</b:First>
            <b:Middle>F.</b:Middle>
          </b:Person>
        </b:NameList>
      </b:Author>
    </b:Author>
    <b:Title>Fundamentals for preparing psychology journal articles</b:Title>
    <b:Year>1983</b:Year>
    <b:Publisher>Journal of Comparative and Physiological Psychology</b:Publisher>
    <b:Volume>55</b:Volume>
    <b:Pages>893-896</b:Pages>
    <b:LCID>en-US</b:LCID>
    <b:RefOrder>1</b:RefOrder>
  </b:Source>
  <b:Source>
    <b:Tag>Sal15</b:Tag>
    <b:SourceType>JournalArticle</b:SourceType>
    <b:Guid>{E327F7A0-9513-42DC-8131-9034DBAB3E5B}</b:Guid>
    <b:Author>
      <b:Author>
        <b:NameList>
          <b:Person>
            <b:Last>Saleh</b:Last>
            <b:First>M.</b:First>
          </b:Person>
        </b:NameList>
      </b:Author>
    </b:Author>
    <b:Title>Relationship between Firm’s Financial Performance and Stock Returns: Evidence from Oil and Gas Sector Pakistan</b:Title>
    <b:Year>2015</b:Year>
    <b:JournalName>Journal of Energy Technologies and Policy, 5(10)</b:JournalName>
    <b:Pages>27 - 32</b:Pages>
    <b:RefOrder>3</b:RefOrder>
  </b:Source>
  <b:Source>
    <b:Tag>Anw16</b:Tag>
    <b:SourceType>JournalArticle</b:SourceType>
    <b:Guid>{F1D217F5-B6D2-48E6-8D7F-691C8A836580}</b:Guid>
    <b:Author>
      <b:Author>
        <b:NameList>
          <b:Person>
            <b:Last>Anwaar</b:Last>
            <b:First>M.</b:First>
          </b:Person>
        </b:NameList>
      </b:Author>
    </b:Author>
    <b:Title>Impact of Firms’ Performance on Stock Returns (Evidence from Listed Companies of FTSE-100 Index London, UK)</b:Title>
    <b:JournalName>Global Journal of Management and Business Research: Accounting and Auditing, 16(01)</b:JournalName>
    <b:Year>2016</b:Year>
    <b:Pages>31 - 39</b:Pages>
    <b:RefOrder>4</b:RefOrder>
  </b:Source>
  <b:Source>
    <b:Tag>Ren20</b:Tag>
    <b:SourceType>JournalArticle</b:SourceType>
    <b:Guid>{2D1D6E8A-AF47-4AC7-A674-2861DAC743CA}</b:Guid>
    <b:Author>
      <b:Author>
        <b:NameList>
          <b:Person>
            <b:Last>Rengaraju</b:Last>
            <b:First>N.</b:First>
          </b:Person>
          <b:Person>
            <b:Last>Sithambaram</b:Last>
            <b:First>S.</b:First>
          </b:Person>
          <b:Person>
            <b:Last>Sankarkumar</b:Last>
            <b:First>A.</b:First>
            <b:Middle>V.</b:Middle>
          </b:Person>
        </b:NameList>
      </b:Author>
    </b:Author>
    <b:Title>Relationship Between Stock Return And Firms’ Financial Performance In Bse Listed Companies</b:Title>
    <b:JournalName>European Journal of Molecular &amp; Clinical Medicine, 07(03)</b:JournalName>
    <b:Year>2020</b:Year>
    <b:Pages>4553 - 4559</b:Pages>
    <b:RefOrder>5</b:RefOrder>
  </b:Source>
  <b:Source>
    <b:Tag>Raz20</b:Tag>
    <b:SourceType>JournalArticle</b:SourceType>
    <b:Guid>{C1BB4CE7-DBD4-4AF3-85DD-26E445010FE5}</b:Guid>
    <b:Author>
      <b:Author>
        <b:NameList>
          <b:Person>
            <b:Last>Razak</b:Last>
            <b:First>A.</b:First>
          </b:Person>
          <b:Person>
            <b:Last>Nurfitriana</b:Last>
            <b:First>F.</b:First>
            <b:Middle>V.</b:Middle>
          </b:Person>
          <b:Person>
            <b:Last>Wana</b:Last>
            <b:First>D.</b:First>
          </b:Person>
          <b:Person>
            <b:Last>Ramli</b:Last>
            <b:First>R.</b:First>
          </b:Person>
          <b:Person>
            <b:Last>Umar</b:Last>
            <b:First>I.</b:First>
          </b:Person>
          <b:Person>
            <b:Last>Endri</b:Last>
            <b:First>E.</b:First>
          </b:Person>
        </b:NameList>
      </b:Author>
    </b:Author>
    <b:Title>The Effects of Financial Performance on Stock Returns: Evidence of Machine and Heavy Equipment Companies in Indonesia</b:Title>
    <b:JournalName>Research in World Economy, 11(6)</b:JournalName>
    <b:Year>2020</b:Year>
    <b:Pages>131 - 138</b:Pages>
    <b:RefOrder>6</b:RefOrder>
  </b:Source>
  <b:Source>
    <b:Tag>Ido18</b:Tag>
    <b:SourceType>JournalArticle</b:SourceType>
    <b:Guid>{9746F9FD-4CFB-426C-B96E-DFE659737D39}</b:Guid>
    <b:Author>
      <b:Author>
        <b:NameList>
          <b:Person>
            <b:Last>Idowu</b:Last>
            <b:First>J.</b:First>
          </b:Person>
          <b:Person>
            <b:Last>Olokoyo</b:Last>
            <b:First>F.</b:First>
            <b:Middle>O.</b:Middle>
          </b:Person>
          <b:Person>
            <b:Last>Idowu</b:Last>
            <b:First>A.</b:First>
          </b:Person>
          <b:Person>
            <b:Last>Akinrin</b:Last>
            <b:First>S.</b:First>
          </b:Person>
          <b:Person>
            <b:Last>Osifo</b:Last>
            <b:First>S.</b:First>
          </b:Person>
        </b:NameList>
      </b:Author>
    </b:Author>
    <b:Title>BANKS’ FINANCIAL PERFORMANCE AND STOCK RETURNS IN NIGERIA</b:Title>
    <b:JournalName>International Journal of Research in Business, Economics and Management, 2(4)</b:JournalName>
    <b:Year>2018</b:Year>
    <b:Pages>62 - 69</b:Pages>
    <b:RefOrder>7</b:RefOrder>
  </b:Source>
  <b:Source>
    <b:Tag>Hov20</b:Tag>
    <b:SourceType>JournalArticle</b:SourceType>
    <b:Guid>{B1967D10-55BE-4787-A02E-0AFB5A5D87DE}</b:Guid>
    <b:Author>
      <b:Author>
        <b:NameList>
          <b:Person>
            <b:Last>Hove</b:Last>
            <b:First>K.</b:First>
          </b:Person>
          <b:Person>
            <b:Last>Shoko</b:Last>
            <b:First>T.</b:First>
          </b:Person>
          <b:Person>
            <b:Last>Shoko</b:Last>
            <b:First>J.</b:First>
          </b:Person>
          <b:Person>
            <b:Last>Dube</b:Last>
            <b:First>S.</b:First>
            <b:Middle>D. G.</b:Middle>
          </b:Person>
          <b:Person>
            <b:Last>Nyoni</b:Last>
            <b:First>T.</b:First>
          </b:Person>
        </b:NameList>
      </b:Author>
    </b:Author>
    <b:Title>CORRELATION BETWEEN STOCK PRICE AND FINANCIAL PERFORMANCE OF ZSE QUOTED BANKING FINANCIAL INSTITUTIONS (DECEMBER 2009-JUNE 2018)</b:Title>
    <b:JournalName>EPRA International Journal of Economics, Business and Management Studies (EBMS), 7(3)</b:JournalName>
    <b:Year>2020</b:Year>
    <b:Pages>28 - 42</b:Pages>
    <b:RefOrder>8</b:RefOrder>
  </b:Source>
  <b:Source>
    <b:Tag>Dim10</b:Tag>
    <b:SourceType>JournalArticle</b:SourceType>
    <b:Guid>{645214A4-78D9-4032-AC01-75AA6A7E536E}</b:Guid>
    <b:Author>
      <b:Author>
        <b:NameList>
          <b:Person>
            <b:Last>Dimitropoulos</b:Last>
            <b:First>E.</b:First>
            <b:Middle>P.</b:Middle>
          </b:Person>
          <b:Person>
            <b:Last>Asteriou</b:Last>
            <b:First>D.</b:First>
          </b:Person>
          <b:Person>
            <b:Last>Koumanakos</b:Last>
            <b:First>E.</b:First>
          </b:Person>
        </b:NameList>
      </b:Author>
    </b:Author>
    <b:Title>The relevance of earnings and cash flows in a heavily regulated industry: Evidence from the Greek banking sector</b:Title>
    <b:JournalName>Advances in Accounting, incorporating Advances in International Accounting, 26</b:JournalName>
    <b:Year>2010</b:Year>
    <b:Pages>pp. 290 - 303</b:Pages>
    <b:RefOrder>9</b:RefOrder>
  </b:Source>
  <b:Source>
    <b:Tag>Ndi16</b:Tag>
    <b:SourceType>JournalArticle</b:SourceType>
    <b:Guid>{F1BAAC0D-3AF6-479D-8A5E-9A87B6618899}</b:Guid>
    <b:Author>
      <b:Author>
        <b:NameList>
          <b:Person>
            <b:Last>Ndirangu</b:Last>
            <b:First>N.</b:First>
          </b:Person>
        </b:NameList>
      </b:Author>
    </b:Author>
    <b:Title>RELATIONSHIP BETWEEN FIRMS’ FINANCIAL PERFORMANCE AND STOCK RETURN FOR FIRMS LISTED AT NAIROBI SECURITIES EXCHANGE</b:Title>
    <b:JournalName>A RESEARCH PROJECT SUBMITTED IN PARTIAL FULFILLMENT OF THE REQUIREMENTS FOR THE AWARD OF THE DEGREE OF MASTER OF BUSINESS ADMINISTRATION, SCHOOL OF BUSINESS, UNIVERSITY OF NAIROBI</b:JournalName>
    <b:Year>2016</b:Year>
    <b:Pages>Nairobi, Kenya</b:Pages>
    <b:RefOrder>10</b:RefOrder>
  </b:Source>
  <b:Source>
    <b:Tag>Kir06</b:Tag>
    <b:SourceType>JournalArticle</b:SourceType>
    <b:Guid>{E5C54222-7FE2-4CD4-B41E-7D47BBC5FA3D}</b:Guid>
    <b:Author>
      <b:Author>
        <b:NameList>
          <b:Person>
            <b:Last>Kirkwood</b:Last>
            <b:First>J.</b:First>
          </b:Person>
          <b:Person>
            <b:Last>Nahm</b:Last>
            <b:First>D.</b:First>
          </b:Person>
        </b:NameList>
      </b:Author>
    </b:Author>
    <b:Title>AUSTRALIAN BANKING EFFICIENCY AND ITS RELATION TO STOCK RETURNS</b:Title>
    <b:JournalName>The Economic Record, 82</b:JournalName>
    <b:Year>2006</b:Year>
    <b:Pages>253 - 267</b:Pages>
    <b:RefOrder>11</b:RefOrder>
  </b:Source>
  <b:Source>
    <b:Tag>Lia10</b:Tag>
    <b:SourceType>JournalArticle</b:SourceType>
    <b:Guid>{50A579C1-1308-4450-90CE-5C66FB085498}</b:Guid>
    <b:Author>
      <b:Author>
        <b:NameList>
          <b:Person>
            <b:Last>Liadaki</b:Last>
            <b:First>A.</b:First>
          </b:Person>
          <b:Person>
            <b:Last>Gaganis</b:Last>
            <b:First>C.</b:First>
          </b:Person>
        </b:NameList>
      </b:Author>
    </b:Author>
    <b:Title>Efficiency and stock performance of EU banks: Is there a relationship?</b:Title>
    <b:JournalName>Omega, 38(5)</b:JournalName>
    <b:Year>2010</b:Year>
    <b:Pages>254 - 259</b:Pages>
    <b:RefOrder>12</b:RefOrder>
  </b:Source>
  <b:Source>
    <b:Tag>Baş15</b:Tag>
    <b:SourceType>JournalArticle</b:SourceType>
    <b:Guid>{5F243677-3DC1-4107-A19B-9AE8E55953B3}</b:Guid>
    <b:Author>
      <b:Author>
        <b:NameList>
          <b:Person>
            <b:Last>Başarır</b:Last>
            <b:First>Ç.</b:First>
          </b:Person>
          <b:Person>
            <b:Last>Ülker</b:Last>
            <b:First>Y</b:First>
          </b:Person>
        </b:NameList>
      </b:Author>
    </b:Author>
    <b:Title>Relationship Between Financial Performance Of Banks and Stock Revenues: Panel Data Analysis</b:Title>
    <b:JournalName>Journal of Applied Finance &amp; Banking, 5 (5)</b:JournalName>
    <b:Year>2015</b:Year>
    <b:Pages>171 - 183</b:Pages>
    <b:RefOrder>13</b:RefOrder>
  </b:Source>
  <b:Source>
    <b:Tag>Pas08</b:Tag>
    <b:SourceType>JournalArticle</b:SourceType>
    <b:Guid>{0DBDF26A-F10B-423B-B11D-51E991C52F2B}</b:Guid>
    <b:Author>
      <b:Author>
        <b:NameList>
          <b:Person>
            <b:Last>Pasiouras</b:Last>
            <b:First>F.</b:First>
          </b:Person>
          <b:Person>
            <b:Last>Liadaki</b:Last>
            <b:First>A.</b:First>
          </b:Person>
          <b:Person>
            <b:Last>Zopounidis</b:Last>
            <b:First>C.</b:First>
          </b:Person>
        </b:NameList>
      </b:Author>
    </b:Author>
    <b:Title>Bank efficiency and share performance: Evidence from Greece</b:Title>
    <b:JournalName>Applied Financial Economics, 18(14)</b:JournalName>
    <b:Year>2008</b:Year>
    <b:Pages>pp. 1121 - 1130</b:Pages>
    <b:RefOrder>14</b:RefOrder>
  </b:Source>
  <b:Source>
    <b:Tag>Pat06</b:Tag>
    <b:SourceType>JournalArticle</b:SourceType>
    <b:Guid>{2E9EC1BE-90BF-4AF8-A3E4-C3A5CD19F50F}</b:Guid>
    <b:Author>
      <b:Author>
        <b:NameList>
          <b:Person>
            <b:Last>Patra</b:Last>
            <b:First>T.</b:First>
          </b:Person>
          <b:Person>
            <b:Last>Poshakwale</b:Last>
            <b:First>S.</b:First>
          </b:Person>
        </b:NameList>
      </b:Author>
    </b:Author>
    <b:Title>Economic variables and stock market returns: Evidence from the Athens stock exchange</b:Title>
    <b:JournalName>Applied Financial Economics, 16(13)</b:JournalName>
    <b:Year>2006</b:Year>
    <b:Pages>pp. 993 - 1005</b:Pages>
    <b:RefOrder>15</b:RefOrder>
  </b:Source>
  <b:Source>
    <b:Tag>cap21</b:Tag>
    <b:SourceType>InternetSite</b:SourceType>
    <b:Guid>{31E4E260-B63E-4289-ABD0-7DB110C4DE19}</b:Guid>
    <b:Title>ΕΘΝΙΚΗ ΤΡΑΠΕΖΑ ΤΗΣ ΕΛΛΑΔΟΣ (ΕΤΕ)</b:Title>
    <b:Year>2021</b:Year>
    <b:Author>
      <b:Author>
        <b:Corporate>capital.gr</b:Corporate>
      </b:Author>
    </b:Author>
    <b:InternetSiteTitle>capital.gr</b:InternetSiteTitle>
    <b:Month>10</b:Month>
    <b:Day>08</b:Day>
    <b:URL>https://www.capital.gr/finance/chart/history/%ce%95%ce%a4%ce%95?symbols=%CE%95%CE%A4%CE%95&amp;type=history&amp;interval=all</b:URL>
    <b:RefOrder>16</b:RefOrder>
  </b:Source>
  <b:Source>
    <b:Tag>Lib211</b:Tag>
    <b:SourceType>InternetSite</b:SourceType>
    <b:Guid>{2B92044B-A3DA-4130-97D8-66A8BFFA521D}</b:Guid>
    <b:Author>
      <b:Author>
        <b:Corporate>Liberal.gr</b:Corporate>
      </b:Author>
    </b:Author>
    <b:Title>Εθνική Τράπεζα της Ελλάδος (ΚΟ)</b:Title>
    <b:InternetSiteTitle>Liberal.gr</b:InternetSiteTitle>
    <b:Year>2021</b:Year>
    <b:Month>10</b:Month>
    <b:Day>08</b:Day>
    <b:URL>https://www.liberal.gr/stock/%CE%95%CE%A4%CE%95</b:URL>
    <b:RefOrder>17</b:RefOrder>
  </b:Source>
  <b:Source>
    <b:Tag>cap211</b:Tag>
    <b:SourceType>InternetSite</b:SourceType>
    <b:Guid>{DBAC4C97-89FC-4F3C-91E5-BA63DA2EF575}</b:Guid>
    <b:Author>
      <b:Author>
        <b:Corporate>capital.gr</b:Corporate>
      </b:Author>
    </b:Author>
    <b:Title>EUROBANK ERGASIAS ΥΠΗΡΕΣΙΩΝ ΚΑΙ ΣΥΜ Α.Ε. (ΕΥΡΩΒ)</b:Title>
    <b:Year>2021</b:Year>
    <b:InternetSiteTitle>capital.gr</b:InternetSiteTitle>
    <b:Month>10</b:Month>
    <b:Day>08</b:Day>
    <b:URL>https://www.capital.gr/finance/chart/history/%ce%95%ce%a5%ce%a1%ce%a9%ce%92?symbols=%CE%95%CE%A5%CE%A1%CE%A9%CE%92&amp;type=history&amp;interval=all</b:URL>
    <b:RefOrder>18</b:RefOrder>
  </b:Source>
  <b:Source>
    <b:Tag>Lib212</b:Tag>
    <b:SourceType>InternetSite</b:SourceType>
    <b:Guid>{1CBD654C-CBB7-447E-9E1E-2CDE5C7BD4F9}</b:Guid>
    <b:Author>
      <b:Author>
        <b:Corporate>Liberal.gr</b:Corporate>
      </b:Author>
    </b:Author>
    <b:Title>EUROBANK ERGASIAS (Κ.Ο)</b:Title>
    <b:InternetSiteTitle>Liberal.gr</b:InternetSiteTitle>
    <b:Year>2021</b:Year>
    <b:Month>10</b:Month>
    <b:Day>08</b:Day>
    <b:URL>https://www.liberal.gr/stock/%CE%95%CE%A5%CE%A1%CE%A9%CE%92</b:URL>
    <b:RefOrder>19</b:RefOrder>
  </b:Source>
  <b:Source>
    <b:Tag>cap212</b:Tag>
    <b:SourceType>InternetSite</b:SourceType>
    <b:Guid>{39DC7504-7E52-4A98-ADF6-6F7A1F4F9CB3}</b:Guid>
    <b:Author>
      <b:Author>
        <b:Corporate>capital.gr</b:Corporate>
      </b:Author>
    </b:Author>
    <b:Title>ΠΕΙΡΑΙΩΣ FINANCIAL HOLDINGS Α.Ε. (ΠΕΙΡ)</b:Title>
    <b:InternetSiteTitle>capital.gr</b:InternetSiteTitle>
    <b:Year>2021</b:Year>
    <b:Month>10</b:Month>
    <b:Day>08</b:Day>
    <b:URL>https://www.capital.gr/finance/chart/history/%ce%a0%ce%95%ce%99%ce%a1?symbols=%CE%A0%CE%95%CE%99%CE%A1&amp;type=history&amp;interval=all</b:URL>
    <b:RefOrder>20</b:RefOrder>
  </b:Source>
  <b:Source>
    <b:Tag>Lib213</b:Tag>
    <b:SourceType>InternetSite</b:SourceType>
    <b:Guid>{02C11CC3-8FA6-4DC4-BB86-66A6B48490F1}</b:Guid>
    <b:Author>
      <b:Author>
        <b:Corporate>Liberal.gr</b:Corporate>
      </b:Author>
    </b:Author>
    <b:Title>ΠΕΙΡΑΙΩΣ FINANCIAL HOLDINGS ΑΕ</b:Title>
    <b:InternetSiteTitle>Liberal.gr</b:InternetSiteTitle>
    <b:Year>2021</b:Year>
    <b:Month>10</b:Month>
    <b:Day>08</b:Day>
    <b:URL>https://www.liberal.gr/stock/%CE%A0%CE%95%CE%99%CE%A1</b:URL>
    <b:RefOrder>21</b:RefOrder>
  </b:Source>
  <b:Source>
    <b:Tag>cap213</b:Tag>
    <b:SourceType>InternetSite</b:SourceType>
    <b:Guid>{F734BC86-4979-43E6-BFD2-437F5A61BCD4}</b:Guid>
    <b:Author>
      <b:Author>
        <b:Corporate>capital.gr</b:Corporate>
      </b:Author>
    </b:Author>
    <b:Title>ALPHA ΥΠΗΡΕΣΙΩΝ ΚΑΙ ΣΥΜΜΕΤΟΧΩΝ Α.Ε (ΑΛΦΑ)</b:Title>
    <b:InternetSiteTitle>capital.gr</b:InternetSiteTitle>
    <b:Year>2021</b:Year>
    <b:Month>10</b:Month>
    <b:Day>08</b:Day>
    <b:URL>https://www.capital.gr/finance/chart/history/%ce%91%ce%9b%ce%a6%ce%91?symbols=%CE%91%CE%9B%CE%A6%CE%91&amp;type=history&amp;interval=all</b:URL>
    <b:RefOrder>22</b:RefOrder>
  </b:Source>
  <b:Source>
    <b:Tag>Lib214</b:Tag>
    <b:SourceType>InternetSite</b:SourceType>
    <b:Guid>{C63EB4E3-25A4-45B2-B7AE-F9D45B2C658F}</b:Guid>
    <b:Author>
      <b:Author>
        <b:Corporate>Liberal.gr</b:Corporate>
      </b:Author>
    </b:Author>
    <b:Title>ALPHA ΥΠΗΡΕΣΙΩΝ ΚΑΙ ΣΥΜ/ΧΩΝ ΑΕ</b:Title>
    <b:InternetSiteTitle>Liberal.gr</b:InternetSiteTitle>
    <b:Year>2021</b:Year>
    <b:Month>10</b:Month>
    <b:Day>08</b:Day>
    <b:URL>https://www.liberal.gr/stock/%CE%91%CE%9B%CE%A6%CE%91</b:URL>
    <b:RefOrder>23</b:RefOrder>
  </b:Source>
  <b:Source>
    <b:Tag>Ber148</b:Tag>
    <b:SourceType>Book</b:SourceType>
    <b:Guid>{CFD2A9E0-E21B-41A4-A62A-426FFB5A5718}</b:Guid>
    <b:Title>Corporate Finance</b:Title>
    <b:Year>2014</b:Year>
    <b:City>Harlow, Essex, UK</b:City>
    <b:Publisher>Pearson Education Limited.</b:Publisher>
    <b:Author>
      <b:Author>
        <b:NameList>
          <b:Person>
            <b:Last>Berk</b:Last>
            <b:First>J.</b:First>
          </b:Person>
          <b:Person>
            <b:Last>DeMarzo</b:Last>
            <b:First>P.</b:First>
          </b:Person>
        </b:NameList>
      </b:Author>
    </b:Author>
    <b:RefOrder>24</b:RefOrder>
  </b:Source>
  <b:Source>
    <b:Tag>Sto152</b:Tag>
    <b:SourceType>Book</b:SourceType>
    <b:Guid>{E8B9EC00-EFDA-44F4-B38F-DD7C829C09EC}</b:Guid>
    <b:Author>
      <b:Author>
        <b:NameList>
          <b:Person>
            <b:Last>Stock</b:Last>
            <b:First>H.</b:First>
            <b:Middle>J.</b:Middle>
          </b:Person>
          <b:Person>
            <b:Last>Watson</b:Last>
            <b:First>W.</b:First>
            <b:Middle>M.</b:Middle>
          </b:Person>
        </b:NameList>
      </b:Author>
    </b:Author>
    <b:Title>Introduction to Econometrics</b:Title>
    <b:Year>2015</b:Year>
    <b:City>Harlow, Essex, UK</b:City>
    <b:Publisher>Pearson Education Limited</b:Publisher>
    <b:RefOrder>25</b:RefOrder>
  </b:Source>
  <b:Source>
    <b:Tag>Gor21</b:Tag>
    <b:SourceType>InternetSite</b:SourceType>
    <b:Guid>{12E9FBF7-7330-4FD8-887D-DA502C4C810A}</b:Guid>
    <b:Title>Stock Market</b:Title>
    <b:Year>2021</b:Year>
    <b:Author>
      <b:Author>
        <b:NameList>
          <b:Person>
            <b:Last>Gordon</b:Last>
            <b:First>S.</b:First>
          </b:Person>
        </b:NameList>
      </b:Author>
    </b:Author>
    <b:InternetSiteTitle>Investopedia</b:InternetSiteTitle>
    <b:Month>10</b:Month>
    <b:Day>15</b:Day>
    <b:URL>https://www.investopedia.com/terms/s/stockmarket.asp</b:URL>
    <b:RefOrder>1</b:RefOrder>
  </b:Source>
  <b:Source>
    <b:Tag>And21</b:Tag>
    <b:SourceType>InternetSite</b:SourceType>
    <b:Guid>{A403301F-2105-41DF-A2E5-C9E4A450D057}</b:Guid>
    <b:Author>
      <b:Author>
        <b:NameList>
          <b:Person>
            <b:Last>Anderson</b:Last>
            <b:First>S.</b:First>
          </b:Person>
        </b:NameList>
      </b:Author>
    </b:Author>
    <b:Title>Financial Institution (FI)</b:Title>
    <b:InternetSiteTitle>Investopedia</b:InternetSiteTitle>
    <b:Year>2021</b:Year>
    <b:Month>10</b:Month>
    <b:Day>15</b:Day>
    <b:URL>https://www.investopedia.com/terms/f/financialinstitution.asp</b:URL>
    <b:RefOrder>2</b:RefOrder>
  </b:Source>
</b:Sources>
</file>

<file path=customXml/itemProps1.xml><?xml version="1.0" encoding="utf-8"?>
<ds:datastoreItem xmlns:ds="http://schemas.openxmlformats.org/officeDocument/2006/customXml" ds:itemID="{23A6F884-D5CB-4102-B0CE-D5D5E257A14A}">
  <ds:schemaRefs>
    <ds:schemaRef ds:uri="http://schemas.microsoft.com/sharepoint/v3/contenttype/forms"/>
  </ds:schemaRefs>
</ds:datastoreItem>
</file>

<file path=customXml/itemProps2.xml><?xml version="1.0" encoding="utf-8"?>
<ds:datastoreItem xmlns:ds="http://schemas.openxmlformats.org/officeDocument/2006/customXml" ds:itemID="{5887082A-7522-4C22-A38B-05B857144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Μορφή εργασίας APA</Template>
  <TotalTime>0</TotalTime>
  <Pages>74</Pages>
  <Words>16751</Words>
  <Characters>90461</Characters>
  <Application>Microsoft Office Word</Application>
  <DocSecurity>0</DocSecurity>
  <Lines>753</Lines>
  <Paragraphs>213</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Kourtesopoulou</dc:creator>
  <cp:lastModifiedBy>Σταύρη</cp:lastModifiedBy>
  <cp:revision>2</cp:revision>
  <cp:lastPrinted>2002-05-11T22:16:00Z</cp:lastPrinted>
  <dcterms:created xsi:type="dcterms:W3CDTF">2022-02-17T15:01:00Z</dcterms:created>
  <dcterms:modified xsi:type="dcterms:W3CDTF">2022-02-17T15:01:00Z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TC100763231032</vt:lpwstr>
  </property>
</Properties>
</file>