
<file path=[Content_Types].xml><?xml version="1.0" encoding="utf-8"?>
<Types xmlns="http://schemas.openxmlformats.org/package/2006/content-types">
  <Default ContentType="application/vnd.openxmlformats-officedocument.spreadsheetml.sheet" Extension="xlsx"/>
  <Default ContentType="application/vnd.openxmlformats-officedocument.oleObject" Extension="bin"/>
  <Default ContentType="application/xml" Extension="xml"/>
  <Default ContentType="image/png" Extension="png"/>
  <Default ContentType="application/vnd.openxmlformats-package.relationships+xml" Extension="rels"/>
  <Override ContentType="application/xml" PartName="/customXML/item1.xml"/>
  <Override ContentType="application/vnd.openxmlformats-officedocument.wordprocessingml.styles+xml" PartName="/word/styles.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package.core-properties+xml" PartName="/docProps/core.xml"/>
  <Override ContentType="application/vnd.ms-office.chartcolorstyle+xml" PartName="/word/charts/colors6.xml"/>
  <Override ContentType="application/vnd.ms-office.chartcolorstyle+xml" PartName="/word/charts/colors9.xml"/>
  <Override ContentType="application/vnd.ms-office.chartcolorstyle+xml" PartName="/word/charts/colors8.xml"/>
  <Override ContentType="application/vnd.ms-office.chartcolorstyle+xml" PartName="/word/charts/colors4.xml"/>
  <Override ContentType="application/vnd.ms-office.chartcolorstyle+xml" PartName="/word/charts/colors12.xml"/>
  <Override ContentType="application/vnd.ms-office.chartcolorstyle+xml" PartName="/word/charts/colors2.xml"/>
  <Override ContentType="application/vnd.ms-office.chartcolorstyle+xml" PartName="/word/charts/colors10.xml"/>
  <Override ContentType="application/vnd.ms-office.chartcolorstyle+xml" PartName="/word/charts/colors5.xml"/>
  <Override ContentType="application/vnd.ms-office.chartcolorstyle+xml" PartName="/word/charts/colors7.xml"/>
  <Override ContentType="application/vnd.ms-office.chartcolorstyle+xml" PartName="/word/charts/colors13.xml"/>
  <Override ContentType="application/vnd.ms-office.chartcolorstyle+xml" PartName="/word/charts/colors3.xml"/>
  <Override ContentType="application/vnd.ms-office.chartcolorstyle+xml" PartName="/word/charts/colors11.xml"/>
  <Override ContentType="application/vnd.ms-office.chartcolorstyle+xml" PartName="/word/charts/colors1.xml"/>
  <Override ContentType="application/vnd.openxmlformats-officedocument.drawingml.chart+xml" PartName="/word/charts/chart6.xml"/>
  <Override ContentType="application/vnd.openxmlformats-officedocument.drawingml.chart+xml" PartName="/word/charts/chart1.xml"/>
  <Override ContentType="application/vnd.openxmlformats-officedocument.drawingml.chart+xml" PartName="/word/charts/chart14.xml"/>
  <Override ContentType="application/vnd.openxmlformats-officedocument.drawingml.chart+xml" PartName="/word/charts/chart4.xml"/>
  <Override ContentType="application/vnd.openxmlformats-officedocument.drawingml.chart+xml" PartName="/word/charts/chart12.xml"/>
  <Override ContentType="application/vnd.openxmlformats-officedocument.drawingml.chart+xml" PartName="/word/charts/chart10.xml"/>
  <Override ContentType="application/vnd.openxmlformats-officedocument.drawingml.chart+xml" PartName="/word/charts/chart15.xml"/>
  <Override ContentType="application/vnd.openxmlformats-officedocument.drawingml.chart+xml" PartName="/word/charts/chart9.xml"/>
  <Override ContentType="application/vnd.openxmlformats-officedocument.drawingml.chart+xml" PartName="/word/charts/chart17.xml"/>
  <Override ContentType="application/vnd.openxmlformats-officedocument.drawingml.chart+xml" PartName="/word/charts/chart13.xml"/>
  <Override ContentType="application/vnd.openxmlformats-officedocument.drawingml.chart+xml" PartName="/word/charts/chart18.xml"/>
  <Override ContentType="application/vnd.openxmlformats-officedocument.drawingml.chart+xml" PartName="/word/charts/chart2.xml"/>
  <Override ContentType="application/vnd.openxmlformats-officedocument.drawingml.chart+xml" PartName="/word/charts/chart7.xml"/>
  <Override ContentType="application/vnd.openxmlformats-officedocument.drawingml.chart+xml" PartName="/word/charts/chart11.xml"/>
  <Override ContentType="application/vnd.openxmlformats-officedocument.drawingml.chart+xml" PartName="/word/charts/chart5.xml"/>
  <Override ContentType="application/vnd.openxmlformats-officedocument.drawingml.chart+xml" PartName="/word/charts/chart3.xml"/>
  <Override ContentType="application/vnd.openxmlformats-officedocument.drawingml.chart+xml" PartName="/word/charts/chart8.xml"/>
  <Override ContentType="application/vnd.openxmlformats-officedocument.drawingml.chart+xml" PartName="/word/charts/chart16.xml"/>
  <Override ContentType="application/vnd.openxmlformats-officedocument.theme+xml" PartName="/word/theme/theme1.xml"/>
  <Override ContentType="application/vnd.openxmlformats-officedocument.wordprocessingml.settings+xml" PartName="/word/settings.xml"/>
  <Override ContentType="application/vnd.openxmlformats-officedocument.custom-properties+xml" PartName="/docProps/custom.xml"/>
  <Override ContentType="application/vnd.openxmlformats-officedocument.themeOverride+xml" PartName="/word/theme/themeOverride4.xml"/>
  <Override ContentType="application/vnd.openxmlformats-officedocument.themeOverride+xml" PartName="/word/theme/themeOverride3.xml"/>
  <Override ContentType="application/vnd.openxmlformats-officedocument.themeOverride+xml" PartName="/word/theme/themeOverride2.xml"/>
  <Override ContentType="application/vnd.openxmlformats-officedocument.themeOverride+xml" PartName="/word/theme/themeOverride1.xml"/>
  <Override ContentType="application/vnd.openxmlformats-officedocument.customXmlProperties+xml" PartName="/customXML/itemProps1.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drawingml.chartshapes+xml" PartName="/word/drawings/drawing2.xml"/>
  <Override ContentType="application/vnd.openxmlformats-officedocument.drawingml.chartshapes+xml" PartName="/word/drawings/drawing1.xml"/>
  <Override ContentType="application/vnd.ms-office.chartstyle+xml" PartName="/word/charts/style5.xml"/>
  <Override ContentType="application/vnd.ms-office.chartstyle+xml" PartName="/word/charts/style7.xml"/>
  <Override ContentType="application/vnd.ms-office.chartstyle+xml" PartName="/word/charts/style12.xml"/>
  <Override ContentType="application/vnd.ms-office.chartstyle+xml" PartName="/word/charts/style9.xml"/>
  <Override ContentType="application/vnd.ms-office.chartstyle+xml" PartName="/word/charts/style4.xml"/>
  <Override ContentType="application/vnd.ms-office.chartstyle+xml" PartName="/word/charts/style2.xml"/>
  <Override ContentType="application/vnd.ms-office.chartstyle+xml" PartName="/word/charts/style1.xml"/>
  <Override ContentType="application/vnd.ms-office.chartstyle+xml" PartName="/word/charts/style6.xml"/>
  <Override ContentType="application/vnd.ms-office.chartstyle+xml" PartName="/word/charts/style10.xml"/>
  <Override ContentType="application/vnd.ms-office.chartstyle+xml" PartName="/word/charts/style8.xml"/>
  <Override ContentType="application/vnd.ms-office.chartstyle+xml" PartName="/word/charts/style13.xml"/>
  <Override ContentType="application/vnd.ms-office.chartstyle+xml" PartName="/word/charts/style11.xml"/>
  <Override ContentType="application/vnd.ms-office.chartstyle+xml" PartName="/word/charts/style3.xml"/>
  <Override ContentType="application/vnd.openxmlformats-officedocument.wordprocessingml.document.main+xml" PartName="/word/document.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center"/>
        <w:rPr>
          <w:rFonts w:ascii="Times New Roman" w:cs="Times New Roman" w:eastAsia="Times New Roman" w:hAnsi="Times New Roman"/>
          <w:b w:val="1"/>
          <w:sz w:val="24"/>
          <w:szCs w:val="24"/>
        </w:rPr>
      </w:pPr>
      <w:r w:rsidDel="00000000" w:rsidR="00000000" w:rsidRPr="00000000">
        <w:rPr/>
        <w:drawing>
          <wp:inline distB="0" distT="0" distL="0" distR="0">
            <wp:extent cx="5287056" cy="1016742"/>
            <wp:effectExtent b="0" l="0" r="0" t="0"/>
            <wp:docPr id="54" name="image1.png"/>
            <a:graphic>
              <a:graphicData uri="http://schemas.openxmlformats.org/drawingml/2006/picture">
                <pic:pic>
                  <pic:nvPicPr>
                    <pic:cNvPr id="0" name="image1.png"/>
                    <pic:cNvPicPr preferRelativeResize="0"/>
                  </pic:nvPicPr>
                  <pic:blipFill>
                    <a:blip r:embed="rId8"/>
                    <a:srcRect b="0" l="0" r="0" t="0"/>
                    <a:stretch>
                      <a:fillRect/>
                    </a:stretch>
                  </pic:blipFill>
                  <pic:spPr>
                    <a:xfrm>
                      <a:off x="0" y="0"/>
                      <a:ext cx="5287056" cy="1016742"/>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3">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4">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5">
      <w:pPr>
        <w:jc w:val="center"/>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b w:val="1"/>
          <w:sz w:val="28"/>
          <w:szCs w:val="28"/>
          <w:rtl w:val="0"/>
        </w:rPr>
        <w:t xml:space="preserve">«Οι κοινωνικές κι οι οικονομικές επιπτώσεις του συστήματος ψυχικής υγείας στην οικονομία» </w:t>
      </w:r>
      <w:r w:rsidDel="00000000" w:rsidR="00000000" w:rsidRPr="00000000">
        <w:rPr>
          <w:rtl w:val="0"/>
        </w:rPr>
      </w:r>
    </w:p>
    <w:p w:rsidR="00000000" w:rsidDel="00000000" w:rsidP="00000000" w:rsidRDefault="00000000" w:rsidRPr="00000000" w14:paraId="00000006">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7">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8">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9">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A">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Πλιάκα Ελένη – Αικατερίνη</w:t>
      </w:r>
    </w:p>
    <w:p w:rsidR="00000000" w:rsidDel="00000000" w:rsidP="00000000" w:rsidRDefault="00000000" w:rsidRPr="00000000" w14:paraId="0000000B">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C">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D">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E">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F">
      <w:pPr>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Υπό την επίβλεψη της</w:t>
      </w:r>
    </w:p>
    <w:p w:rsidR="00000000" w:rsidDel="00000000" w:rsidP="00000000" w:rsidRDefault="00000000" w:rsidRPr="00000000" w14:paraId="00000010">
      <w:pPr>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Καθηγήτριας Σκίντζη Βασιλικής</w:t>
      </w:r>
    </w:p>
    <w:p w:rsidR="00000000" w:rsidDel="00000000" w:rsidP="00000000" w:rsidRDefault="00000000" w:rsidRPr="00000000" w14:paraId="00000011">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2">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3">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4">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5">
      <w:pPr>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Φεβρουάριος 2022</w:t>
      </w:r>
    </w:p>
    <w:p w:rsidR="00000000" w:rsidDel="00000000" w:rsidP="00000000" w:rsidRDefault="00000000" w:rsidRPr="00000000" w14:paraId="0000001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3">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4">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5">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6">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7">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8">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9">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A">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B">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C">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D">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E">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F">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0">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1">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2">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3">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4">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5">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6">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7">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Copyright © Πλιάκα Ελένη – Αικατερίνη, 2022</w:t>
      </w:r>
    </w:p>
    <w:p w:rsidR="00000000" w:rsidDel="00000000" w:rsidP="00000000" w:rsidRDefault="00000000" w:rsidRPr="00000000" w14:paraId="00000038">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Με επιφύλαξη κάθε δικαιώματος. All rights reserved. </w:t>
      </w:r>
    </w:p>
    <w:p w:rsidR="00000000" w:rsidDel="00000000" w:rsidP="00000000" w:rsidRDefault="00000000" w:rsidRPr="00000000" w14:paraId="00000039">
      <w:pPr>
        <w:rPr>
          <w:rFonts w:ascii="Times New Roman" w:cs="Times New Roman" w:eastAsia="Times New Roman" w:hAnsi="Times New Roman"/>
          <w:sz w:val="20"/>
          <w:szCs w:val="20"/>
        </w:rPr>
        <w:sectPr>
          <w:pgSz w:h="16838" w:w="11906" w:orient="portrait"/>
          <w:pgMar w:bottom="1440" w:top="1440" w:left="1800" w:right="1800" w:header="708" w:footer="708"/>
          <w:pgNumType w:start="1"/>
        </w:sectPr>
      </w:pPr>
      <w:r w:rsidDel="00000000" w:rsidR="00000000" w:rsidRPr="00000000">
        <w:rPr>
          <w:rFonts w:ascii="Times New Roman" w:cs="Times New Roman" w:eastAsia="Times New Roman" w:hAnsi="Times New Roman"/>
          <w:sz w:val="20"/>
          <w:szCs w:val="20"/>
          <w:rtl w:val="0"/>
        </w:rPr>
        <w:t xml:space="preserve">Απαγορεύεται η αντιγραφή, αποθήκευση και διανομή της παρούσας εργασίας, εξ ολοκλήρου ή τμήματος αυτής, για εμπορικό σκοπό. Επιτρέπεται η ανατύπωση, αποθήκευση και διανομή για σκοπό μη κερδοσκοπικό, εκπαιδευτικής ή ερευνητικής φύσης, υπό την προϋπόθεση να αναφέρεται η πηγή προέλευσης και να διατηρείται το παρόν μήνυμα. Ερωτήματα που αφορούν τη χρήση της εργασίας για κερδοσκοπικό σκοπό πρέπει να απευθύνονται προς τη συγγραφέα. Οι απόψεις και τα συμπεράσματα που περιέχονται σε αυτό το έγγραφο εκφράζουν τη συγγραφέα και δεν πρέπει να ερμηνευθεί ότι αντιπροσωπεύουν τις επίσημες θέσεις του Τμήματος Οικονομικών Επιστημών του Πανεπιστημίου Πελοποννήσου.</w:t>
      </w:r>
    </w:p>
    <w:p w:rsidR="00000000" w:rsidDel="00000000" w:rsidP="00000000" w:rsidRDefault="00000000" w:rsidRPr="00000000" w14:paraId="0000003A">
      <w:pPr>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Ευχαριστίες</w:t>
      </w:r>
    </w:p>
    <w:p w:rsidR="00000000" w:rsidDel="00000000" w:rsidP="00000000" w:rsidRDefault="00000000" w:rsidRPr="00000000" w14:paraId="0000003B">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Αρχικά, θα ήθελα να ευχαριστήσω την επιβλέπουσα καθηγήτριά μου, κα. Σκίντζη Βασιλική. Θα επιθυμούσα επίσης να ευχαριστήσω την οικογένειά μου για την αμέριστη υποστήριξη που μου προσέφερε κατά τη διάρκεια των μεταπτυχιακών μου σπουδών. </w:t>
      </w:r>
    </w:p>
    <w:p w:rsidR="00000000" w:rsidDel="00000000" w:rsidP="00000000" w:rsidRDefault="00000000" w:rsidRPr="00000000" w14:paraId="0000003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2">
      <w:pPr>
        <w:rPr/>
      </w:pPr>
      <w:r w:rsidDel="00000000" w:rsidR="00000000" w:rsidRPr="00000000">
        <w:rPr>
          <w:rtl w:val="0"/>
        </w:rPr>
      </w:r>
    </w:p>
    <w:p w:rsidR="00000000" w:rsidDel="00000000" w:rsidP="00000000" w:rsidRDefault="00000000" w:rsidRPr="00000000" w14:paraId="00000053">
      <w:pPr>
        <w:pStyle w:val="Heading1"/>
        <w:jc w:val="center"/>
        <w:rPr>
          <w:rFonts w:ascii="Times New Roman" w:cs="Times New Roman" w:eastAsia="Times New Roman" w:hAnsi="Times New Roman"/>
          <w:color w:val="000000"/>
        </w:rPr>
      </w:pPr>
      <w:bookmarkStart w:colFirst="0" w:colLast="0" w:name="_heading=h.gjdgxs" w:id="0"/>
      <w:bookmarkEnd w:id="0"/>
      <w:r w:rsidDel="00000000" w:rsidR="00000000" w:rsidRPr="00000000">
        <w:rPr>
          <w:rFonts w:ascii="Times New Roman" w:cs="Times New Roman" w:eastAsia="Times New Roman" w:hAnsi="Times New Roman"/>
          <w:color w:val="000000"/>
          <w:rtl w:val="0"/>
        </w:rPr>
        <w:t xml:space="preserve">ΠΕΡΙΕΧΟΜΕΝΑ</w:t>
      </w:r>
    </w:p>
    <w:sdt>
      <w:sdtPr>
        <w:docPartObj>
          <w:docPartGallery w:val="Table of Contents"/>
          <w:docPartUnique w:val="1"/>
        </w:docPartObj>
      </w:sdtPr>
      <w:sdtContent>
        <w:p w:rsidR="00000000" w:rsidDel="00000000" w:rsidP="00000000" w:rsidRDefault="00000000" w:rsidRPr="00000000" w14:paraId="0000005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8296"/>
            </w:tabs>
            <w:spacing w:after="0" w:before="0" w:line="276" w:lineRule="auto"/>
            <w:ind w:left="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fldChar w:fldCharType="begin"/>
            <w:instrText xml:space="preserve"> TOC \h \u \z </w:instrText>
            <w:fldChar w:fldCharType="separate"/>
          </w:r>
          <w:hyperlink w:anchor="_heading=h.gjdgxs">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ΠΕΡΙΕΧΟΜΕΝΑ</w:t>
              <w:tab/>
              <w:t xml:space="preserve">4</w:t>
            </w:r>
          </w:hyperlink>
          <w:r w:rsidDel="00000000" w:rsidR="00000000" w:rsidRPr="00000000">
            <w:rPr>
              <w:rtl w:val="0"/>
            </w:rPr>
          </w:r>
        </w:p>
        <w:p w:rsidR="00000000" w:rsidDel="00000000" w:rsidP="00000000" w:rsidRDefault="00000000" w:rsidRPr="00000000" w14:paraId="0000005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8296"/>
            </w:tabs>
            <w:spacing w:after="0" w:before="0" w:line="276" w:lineRule="auto"/>
            <w:ind w:left="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30j0zll">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ΚΑΤΑΛΟΓΟΣ ΠΙΝΑΚΩΝ</w:t>
              <w:tab/>
              <w:t xml:space="preserve">6</w:t>
            </w:r>
          </w:hyperlink>
          <w:r w:rsidDel="00000000" w:rsidR="00000000" w:rsidRPr="00000000">
            <w:rPr>
              <w:rtl w:val="0"/>
            </w:rPr>
          </w:r>
        </w:p>
        <w:p w:rsidR="00000000" w:rsidDel="00000000" w:rsidP="00000000" w:rsidRDefault="00000000" w:rsidRPr="00000000" w14:paraId="0000005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8296"/>
            </w:tabs>
            <w:spacing w:after="0" w:before="0" w:line="276" w:lineRule="auto"/>
            <w:ind w:left="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1fob9te">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ΚΑΤΑΛΟΓΟΣ ΣΧΗΜΑΤΩΝ &amp; ΕΙΚΟΝΩΝ</w:t>
              <w:tab/>
              <w:t xml:space="preserve">7</w:t>
            </w:r>
          </w:hyperlink>
          <w:r w:rsidDel="00000000" w:rsidR="00000000" w:rsidRPr="00000000">
            <w:rPr>
              <w:rtl w:val="0"/>
            </w:rPr>
          </w:r>
        </w:p>
        <w:p w:rsidR="00000000" w:rsidDel="00000000" w:rsidP="00000000" w:rsidRDefault="00000000" w:rsidRPr="00000000" w14:paraId="00000057">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8296"/>
            </w:tabs>
            <w:spacing w:after="0" w:before="0" w:line="276" w:lineRule="auto"/>
            <w:ind w:left="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2et92p0">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ΚΑΤΑΛΟΓΟΣ ΣΥΝΤΟΜΟΓΡΑΦΙΩΝ</w:t>
              <w:tab/>
              <w:t xml:space="preserve">8</w:t>
            </w:r>
          </w:hyperlink>
          <w:r w:rsidDel="00000000" w:rsidR="00000000" w:rsidRPr="00000000">
            <w:rPr>
              <w:rtl w:val="0"/>
            </w:rPr>
          </w:r>
        </w:p>
        <w:p w:rsidR="00000000" w:rsidDel="00000000" w:rsidP="00000000" w:rsidRDefault="00000000" w:rsidRPr="00000000" w14:paraId="0000005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8296"/>
            </w:tabs>
            <w:spacing w:after="0" w:before="0" w:line="276" w:lineRule="auto"/>
            <w:ind w:left="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tyjcwt">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ΠΕΡΙΛΗΨΗ</w:t>
              <w:tab/>
              <w:t xml:space="preserve">9</w:t>
            </w:r>
          </w:hyperlink>
          <w:r w:rsidDel="00000000" w:rsidR="00000000" w:rsidRPr="00000000">
            <w:rPr>
              <w:rtl w:val="0"/>
            </w:rPr>
          </w:r>
        </w:p>
        <w:p w:rsidR="00000000" w:rsidDel="00000000" w:rsidP="00000000" w:rsidRDefault="00000000" w:rsidRPr="00000000" w14:paraId="0000005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8296"/>
            </w:tabs>
            <w:spacing w:after="0" w:before="0" w:line="276" w:lineRule="auto"/>
            <w:ind w:left="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3dy6vkm">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ABSTRACT</w:t>
              <w:tab/>
              <w:t xml:space="preserve">10</w:t>
            </w:r>
          </w:hyperlink>
          <w:r w:rsidDel="00000000" w:rsidR="00000000" w:rsidRPr="00000000">
            <w:rPr>
              <w:rtl w:val="0"/>
            </w:rPr>
          </w:r>
        </w:p>
        <w:p w:rsidR="00000000" w:rsidDel="00000000" w:rsidP="00000000" w:rsidRDefault="00000000" w:rsidRPr="00000000" w14:paraId="0000005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8296"/>
            </w:tabs>
            <w:spacing w:after="0" w:before="0" w:line="276" w:lineRule="auto"/>
            <w:ind w:left="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1t3h5sf">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ΜΕΡΟΣ Ι</w:t>
              <w:tab/>
              <w:t xml:space="preserve">11</w:t>
            </w:r>
          </w:hyperlink>
          <w:r w:rsidDel="00000000" w:rsidR="00000000" w:rsidRPr="00000000">
            <w:rPr>
              <w:rtl w:val="0"/>
            </w:rPr>
          </w:r>
        </w:p>
        <w:p w:rsidR="00000000" w:rsidDel="00000000" w:rsidP="00000000" w:rsidRDefault="00000000" w:rsidRPr="00000000" w14:paraId="0000005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7360"/>
            </w:tabs>
            <w:spacing w:after="100" w:before="0" w:line="360" w:lineRule="auto"/>
            <w:ind w:left="22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4d34og8">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ΕΙΣΑΓΩΓΗ</w:t>
              <w:tab/>
              <w:t xml:space="preserve">11</w:t>
            </w:r>
          </w:hyperlink>
          <w:r w:rsidDel="00000000" w:rsidR="00000000" w:rsidRPr="00000000">
            <w:rPr>
              <w:rtl w:val="0"/>
            </w:rPr>
          </w:r>
        </w:p>
        <w:p w:rsidR="00000000" w:rsidDel="00000000" w:rsidP="00000000" w:rsidRDefault="00000000" w:rsidRPr="00000000" w14:paraId="0000005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8296"/>
            </w:tabs>
            <w:spacing w:after="0" w:before="0" w:line="276" w:lineRule="auto"/>
            <w:ind w:left="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2s8eyo1">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ΜΕΡΟΣ IΙ</w:t>
              <w:tab/>
              <w:t xml:space="preserve">13</w:t>
            </w:r>
          </w:hyperlink>
          <w:r w:rsidDel="00000000" w:rsidR="00000000" w:rsidRPr="00000000">
            <w:rPr>
              <w:rtl w:val="0"/>
            </w:rPr>
          </w:r>
        </w:p>
        <w:p w:rsidR="00000000" w:rsidDel="00000000" w:rsidP="00000000" w:rsidRDefault="00000000" w:rsidRPr="00000000" w14:paraId="0000005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8296"/>
            </w:tabs>
            <w:spacing w:after="0" w:before="0" w:line="276" w:lineRule="auto"/>
            <w:ind w:left="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17dp8vu">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ΒΙΒΛΙΟΓΡΑΦΙΚΗ ΑΝΑΣΚΟΠΗΣΗ</w:t>
              <w:tab/>
              <w:t xml:space="preserve">13</w:t>
            </w:r>
          </w:hyperlink>
          <w:r w:rsidDel="00000000" w:rsidR="00000000" w:rsidRPr="00000000">
            <w:rPr>
              <w:rtl w:val="0"/>
            </w:rPr>
          </w:r>
        </w:p>
        <w:p w:rsidR="00000000" w:rsidDel="00000000" w:rsidP="00000000" w:rsidRDefault="00000000" w:rsidRPr="00000000" w14:paraId="0000005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7360"/>
            </w:tabs>
            <w:spacing w:after="100" w:before="0" w:line="360" w:lineRule="auto"/>
            <w:ind w:left="22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3rdcrjn">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2.1. Παγκόσμια οικονομική και κοινωνική επιβάρυνση από τις ψυχικές διαταραχές</w:t>
              <w:tab/>
              <w:t xml:space="preserve">13</w:t>
            </w:r>
          </w:hyperlink>
          <w:r w:rsidDel="00000000" w:rsidR="00000000" w:rsidRPr="00000000">
            <w:rPr>
              <w:rtl w:val="0"/>
            </w:rPr>
          </w:r>
        </w:p>
        <w:p w:rsidR="00000000" w:rsidDel="00000000" w:rsidP="00000000" w:rsidRDefault="00000000" w:rsidRPr="00000000" w14:paraId="0000005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7360"/>
            </w:tabs>
            <w:spacing w:after="100" w:before="0" w:line="360" w:lineRule="auto"/>
            <w:ind w:left="22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26in1rg">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2.2. Επιβάρυνση και έμμεσο κόστος των ψυχικών διαταραχών</w:t>
              <w:tab/>
              <w:t xml:space="preserve">18</w:t>
            </w:r>
          </w:hyperlink>
          <w:r w:rsidDel="00000000" w:rsidR="00000000" w:rsidRPr="00000000">
            <w:rPr>
              <w:rtl w:val="0"/>
            </w:rPr>
          </w:r>
        </w:p>
        <w:p w:rsidR="00000000" w:rsidDel="00000000" w:rsidP="00000000" w:rsidRDefault="00000000" w:rsidRPr="00000000" w14:paraId="0000006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7360"/>
            </w:tabs>
            <w:spacing w:after="100" w:before="0" w:line="360" w:lineRule="auto"/>
            <w:ind w:left="22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lnxbz9">
            <w:r w:rsidDel="00000000" w:rsidR="00000000" w:rsidRPr="00000000">
              <w:rPr>
                <w:rFonts w:ascii="Times New Roman" w:cs="Times New Roman" w:eastAsia="Times New Roman" w:hAnsi="Times New Roman"/>
                <w:b w:val="0"/>
                <w:i w:val="1"/>
                <w:smallCaps w:val="0"/>
                <w:strike w:val="0"/>
                <w:color w:val="000000"/>
                <w:sz w:val="22"/>
                <w:szCs w:val="22"/>
                <w:u w:val="none"/>
                <w:shd w:fill="auto" w:val="clear"/>
                <w:vertAlign w:val="baseline"/>
                <w:rtl w:val="0"/>
              </w:rPr>
              <w:t xml:space="preserve">2.2.1.Απώλειες σε εθνικό επίπεδο</w:t>
            </w:r>
          </w:hyperlink>
          <w:hyperlink w:anchor="_heading=h.lnxbz9">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t xml:space="preserve">20</w:t>
            </w:r>
          </w:hyperlink>
          <w:r w:rsidDel="00000000" w:rsidR="00000000" w:rsidRPr="00000000">
            <w:rPr>
              <w:rtl w:val="0"/>
            </w:rPr>
          </w:r>
        </w:p>
        <w:p w:rsidR="00000000" w:rsidDel="00000000" w:rsidP="00000000" w:rsidRDefault="00000000" w:rsidRPr="00000000" w14:paraId="0000006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7360"/>
            </w:tabs>
            <w:spacing w:after="100" w:before="0" w:line="360" w:lineRule="auto"/>
            <w:ind w:left="22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35nkun2">
            <w:r w:rsidDel="00000000" w:rsidR="00000000" w:rsidRPr="00000000">
              <w:rPr>
                <w:rFonts w:ascii="Times New Roman" w:cs="Times New Roman" w:eastAsia="Times New Roman" w:hAnsi="Times New Roman"/>
                <w:b w:val="0"/>
                <w:i w:val="1"/>
                <w:smallCaps w:val="0"/>
                <w:strike w:val="0"/>
                <w:color w:val="000000"/>
                <w:sz w:val="22"/>
                <w:szCs w:val="22"/>
                <w:u w:val="none"/>
                <w:shd w:fill="auto" w:val="clear"/>
                <w:vertAlign w:val="baseline"/>
                <w:rtl w:val="0"/>
              </w:rPr>
              <w:t xml:space="preserve">2.2.2. Τομεακό/Εργασιακό/Επιχειρησιακό επίπεδο</w:t>
            </w:r>
          </w:hyperlink>
          <w:hyperlink w:anchor="_heading=h.35nkun2">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t xml:space="preserve">20</w:t>
            </w:r>
          </w:hyperlink>
          <w:r w:rsidDel="00000000" w:rsidR="00000000" w:rsidRPr="00000000">
            <w:rPr>
              <w:rtl w:val="0"/>
            </w:rPr>
          </w:r>
        </w:p>
        <w:p w:rsidR="00000000" w:rsidDel="00000000" w:rsidP="00000000" w:rsidRDefault="00000000" w:rsidRPr="00000000" w14:paraId="0000006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7360"/>
            </w:tabs>
            <w:spacing w:after="100" w:before="0" w:line="360" w:lineRule="auto"/>
            <w:ind w:left="22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1ksv4uv">
            <w:r w:rsidDel="00000000" w:rsidR="00000000" w:rsidRPr="00000000">
              <w:rPr>
                <w:rFonts w:ascii="Times New Roman" w:cs="Times New Roman" w:eastAsia="Times New Roman" w:hAnsi="Times New Roman"/>
                <w:b w:val="0"/>
                <w:i w:val="1"/>
                <w:smallCaps w:val="0"/>
                <w:strike w:val="0"/>
                <w:color w:val="000000"/>
                <w:sz w:val="22"/>
                <w:szCs w:val="22"/>
                <w:u w:val="none"/>
                <w:shd w:fill="auto" w:val="clear"/>
                <w:vertAlign w:val="baseline"/>
                <w:rtl w:val="0"/>
              </w:rPr>
              <w:t xml:space="preserve">2.2.3. Ατομικό επίπεδο</w:t>
            </w:r>
          </w:hyperlink>
          <w:hyperlink w:anchor="_heading=h.1ksv4uv">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t xml:space="preserve">22</w:t>
            </w:r>
          </w:hyperlink>
          <w:r w:rsidDel="00000000" w:rsidR="00000000" w:rsidRPr="00000000">
            <w:rPr>
              <w:rtl w:val="0"/>
            </w:rPr>
          </w:r>
        </w:p>
        <w:p w:rsidR="00000000" w:rsidDel="00000000" w:rsidP="00000000" w:rsidRDefault="00000000" w:rsidRPr="00000000" w14:paraId="00000063">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8296"/>
            </w:tabs>
            <w:spacing w:after="0" w:before="0" w:line="276" w:lineRule="auto"/>
            <w:ind w:left="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44sinio">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2.3. Έμμεσο κόστος και επιβάρυνση των διαταραχών χρήσης ουσιών και αλκοόλ</w:t>
              <w:tab/>
              <w:t xml:space="preserve">26</w:t>
            </w:r>
          </w:hyperlink>
          <w:r w:rsidDel="00000000" w:rsidR="00000000" w:rsidRPr="00000000">
            <w:rPr>
              <w:rtl w:val="0"/>
            </w:rPr>
          </w:r>
        </w:p>
        <w:p w:rsidR="00000000" w:rsidDel="00000000" w:rsidP="00000000" w:rsidRDefault="00000000" w:rsidRPr="00000000" w14:paraId="0000006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8296"/>
            </w:tabs>
            <w:spacing w:after="0" w:before="0" w:line="276" w:lineRule="auto"/>
            <w:ind w:left="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2jxsxqh">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2.4. Το οικονομικό κόστος του στίγματος για την ψυχική υγεία</w:t>
              <w:tab/>
              <w:t xml:space="preserve">28</w:t>
            </w:r>
          </w:hyperlink>
          <w:r w:rsidDel="00000000" w:rsidR="00000000" w:rsidRPr="00000000">
            <w:rPr>
              <w:rtl w:val="0"/>
            </w:rPr>
          </w:r>
        </w:p>
        <w:p w:rsidR="00000000" w:rsidDel="00000000" w:rsidP="00000000" w:rsidRDefault="00000000" w:rsidRPr="00000000" w14:paraId="0000006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8296"/>
            </w:tabs>
            <w:spacing w:after="0" w:before="0" w:line="276" w:lineRule="auto"/>
            <w:ind w:left="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z337ya">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2.5. Το σύστημα Ψυχικής Υγείας στην Ελλάδα</w:t>
              <w:tab/>
              <w:t xml:space="preserve">31</w:t>
            </w:r>
          </w:hyperlink>
          <w:r w:rsidDel="00000000" w:rsidR="00000000" w:rsidRPr="00000000">
            <w:rPr>
              <w:rtl w:val="0"/>
            </w:rPr>
          </w:r>
        </w:p>
        <w:p w:rsidR="00000000" w:rsidDel="00000000" w:rsidP="00000000" w:rsidRDefault="00000000" w:rsidRPr="00000000" w14:paraId="0000006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8296"/>
            </w:tabs>
            <w:spacing w:after="0" w:before="0" w:line="276" w:lineRule="auto"/>
            <w:ind w:left="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3j2qqm3">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ΜΕΡΟΣ IΙΙ</w:t>
              <w:tab/>
              <w:t xml:space="preserve">35</w:t>
            </w:r>
          </w:hyperlink>
          <w:r w:rsidDel="00000000" w:rsidR="00000000" w:rsidRPr="00000000">
            <w:rPr>
              <w:rtl w:val="0"/>
            </w:rPr>
          </w:r>
        </w:p>
        <w:p w:rsidR="00000000" w:rsidDel="00000000" w:rsidP="00000000" w:rsidRDefault="00000000" w:rsidRPr="00000000" w14:paraId="00000067">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8296"/>
            </w:tabs>
            <w:spacing w:after="0" w:before="0" w:line="276" w:lineRule="auto"/>
            <w:ind w:left="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1y810tw">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3. ΜΕΘΟΔΟΛΟΓΙΑ</w:t>
              <w:tab/>
              <w:t xml:space="preserve">35</w:t>
            </w:r>
          </w:hyperlink>
          <w:r w:rsidDel="00000000" w:rsidR="00000000" w:rsidRPr="00000000">
            <w:rPr>
              <w:rtl w:val="0"/>
            </w:rPr>
          </w:r>
        </w:p>
        <w:p w:rsidR="00000000" w:rsidDel="00000000" w:rsidP="00000000" w:rsidRDefault="00000000" w:rsidRPr="00000000" w14:paraId="0000006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8296"/>
            </w:tabs>
            <w:spacing w:after="0" w:before="0" w:line="276" w:lineRule="auto"/>
            <w:ind w:left="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4i7ojhp">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ΜΕΡΟΣ IV</w:t>
              <w:tab/>
              <w:t xml:space="preserve">36</w:t>
            </w:r>
          </w:hyperlink>
          <w:r w:rsidDel="00000000" w:rsidR="00000000" w:rsidRPr="00000000">
            <w:rPr>
              <w:rtl w:val="0"/>
            </w:rPr>
          </w:r>
        </w:p>
        <w:p w:rsidR="00000000" w:rsidDel="00000000" w:rsidP="00000000" w:rsidRDefault="00000000" w:rsidRPr="00000000" w14:paraId="0000006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8296"/>
            </w:tabs>
            <w:spacing w:after="0" w:before="0" w:line="276" w:lineRule="auto"/>
            <w:ind w:left="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2xcytpi">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ΑΠΟΤΕΛΕΣΜΑΤΑ</w:t>
              <w:tab/>
              <w:t xml:space="preserve">36</w:t>
            </w:r>
          </w:hyperlink>
          <w:r w:rsidDel="00000000" w:rsidR="00000000" w:rsidRPr="00000000">
            <w:rPr>
              <w:rtl w:val="0"/>
            </w:rPr>
          </w:r>
        </w:p>
        <w:p w:rsidR="00000000" w:rsidDel="00000000" w:rsidP="00000000" w:rsidRDefault="00000000" w:rsidRPr="00000000" w14:paraId="0000006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8296"/>
            </w:tabs>
            <w:spacing w:after="0" w:before="0" w:line="276" w:lineRule="auto"/>
            <w:ind w:left="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1ci93xb">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4.1. Ανθρωποκεντρικές πολιτικές και υπηρεσίες ψυχικής υγείας</w:t>
              <w:tab/>
              <w:t xml:space="preserve">36</w:t>
            </w:r>
          </w:hyperlink>
          <w:r w:rsidDel="00000000" w:rsidR="00000000" w:rsidRPr="00000000">
            <w:rPr>
              <w:rtl w:val="0"/>
            </w:rPr>
          </w:r>
        </w:p>
        <w:p w:rsidR="00000000" w:rsidDel="00000000" w:rsidP="00000000" w:rsidRDefault="00000000" w:rsidRPr="00000000" w14:paraId="0000006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7360"/>
            </w:tabs>
            <w:spacing w:after="100" w:before="0" w:line="360" w:lineRule="auto"/>
            <w:ind w:left="22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3whwml4">
            <w:r w:rsidDel="00000000" w:rsidR="00000000" w:rsidRPr="00000000">
              <w:rPr>
                <w:rFonts w:ascii="Times New Roman" w:cs="Times New Roman" w:eastAsia="Times New Roman" w:hAnsi="Times New Roman"/>
                <w:b w:val="0"/>
                <w:i w:val="1"/>
                <w:smallCaps w:val="0"/>
                <w:strike w:val="0"/>
                <w:color w:val="000000"/>
                <w:sz w:val="22"/>
                <w:szCs w:val="22"/>
                <w:u w:val="none"/>
                <w:shd w:fill="auto" w:val="clear"/>
                <w:vertAlign w:val="baseline"/>
                <w:rtl w:val="0"/>
              </w:rPr>
              <w:t xml:space="preserve">4.1.1. Επιλογή παρόχων &amp; υπηρεσιών ψυχικής υγείας</w:t>
            </w:r>
          </w:hyperlink>
          <w:hyperlink w:anchor="_heading=h.3whwml4">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t xml:space="preserve">36</w:t>
            </w:r>
          </w:hyperlink>
          <w:r w:rsidDel="00000000" w:rsidR="00000000" w:rsidRPr="00000000">
            <w:rPr>
              <w:rtl w:val="0"/>
            </w:rPr>
          </w:r>
        </w:p>
        <w:p w:rsidR="00000000" w:rsidDel="00000000" w:rsidP="00000000" w:rsidRDefault="00000000" w:rsidRPr="00000000" w14:paraId="0000006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7360"/>
            </w:tabs>
            <w:spacing w:after="100" w:before="0" w:line="360" w:lineRule="auto"/>
            <w:ind w:left="22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2bn6wsx">
            <w:r w:rsidDel="00000000" w:rsidR="00000000" w:rsidRPr="00000000">
              <w:rPr>
                <w:rFonts w:ascii="Times New Roman" w:cs="Times New Roman" w:eastAsia="Times New Roman" w:hAnsi="Times New Roman"/>
                <w:b w:val="0"/>
                <w:i w:val="1"/>
                <w:smallCaps w:val="0"/>
                <w:strike w:val="0"/>
                <w:color w:val="000000"/>
                <w:sz w:val="22"/>
                <w:szCs w:val="22"/>
                <w:u w:val="none"/>
                <w:shd w:fill="auto" w:val="clear"/>
                <w:vertAlign w:val="baseline"/>
                <w:rtl w:val="0"/>
              </w:rPr>
              <w:t xml:space="preserve">4.1.2. Ανθρωποκεντρικές υπηρεσίες ψυχικής υγείας</w:t>
            </w:r>
          </w:hyperlink>
          <w:hyperlink w:anchor="_heading=h.2bn6wsx">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t xml:space="preserve">38</w:t>
            </w:r>
          </w:hyperlink>
          <w:r w:rsidDel="00000000" w:rsidR="00000000" w:rsidRPr="00000000">
            <w:rPr>
              <w:rtl w:val="0"/>
            </w:rPr>
          </w:r>
        </w:p>
        <w:p w:rsidR="00000000" w:rsidDel="00000000" w:rsidP="00000000" w:rsidRDefault="00000000" w:rsidRPr="00000000" w14:paraId="0000006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7360"/>
            </w:tabs>
            <w:spacing w:after="100" w:before="0" w:line="360" w:lineRule="auto"/>
            <w:ind w:left="22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qsh70q">
            <w:r w:rsidDel="00000000" w:rsidR="00000000" w:rsidRPr="00000000">
              <w:rPr>
                <w:rFonts w:ascii="Times New Roman" w:cs="Times New Roman" w:eastAsia="Times New Roman" w:hAnsi="Times New Roman"/>
                <w:b w:val="0"/>
                <w:i w:val="1"/>
                <w:smallCaps w:val="0"/>
                <w:strike w:val="0"/>
                <w:color w:val="000000"/>
                <w:sz w:val="22"/>
                <w:szCs w:val="22"/>
                <w:u w:val="none"/>
                <w:shd w:fill="auto" w:val="clear"/>
                <w:vertAlign w:val="baseline"/>
                <w:rtl w:val="0"/>
              </w:rPr>
              <w:t xml:space="preserve">4.1.3. Προστασία απέναντι στην ακούσια νοσηλεία</w:t>
            </w:r>
          </w:hyperlink>
          <w:hyperlink w:anchor="_heading=h.qsh70q">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t xml:space="preserve">40</w:t>
            </w:r>
          </w:hyperlink>
          <w:r w:rsidDel="00000000" w:rsidR="00000000" w:rsidRPr="00000000">
            <w:rPr>
              <w:rtl w:val="0"/>
            </w:rPr>
          </w:r>
        </w:p>
        <w:p w:rsidR="00000000" w:rsidDel="00000000" w:rsidP="00000000" w:rsidRDefault="00000000" w:rsidRPr="00000000" w14:paraId="0000006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7360"/>
            </w:tabs>
            <w:spacing w:after="100" w:before="0" w:line="360" w:lineRule="auto"/>
            <w:ind w:left="22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3as4poj">
            <w:r w:rsidDel="00000000" w:rsidR="00000000" w:rsidRPr="00000000">
              <w:rPr>
                <w:rFonts w:ascii="Times New Roman" w:cs="Times New Roman" w:eastAsia="Times New Roman" w:hAnsi="Times New Roman"/>
                <w:b w:val="0"/>
                <w:i w:val="1"/>
                <w:smallCaps w:val="0"/>
                <w:strike w:val="0"/>
                <w:color w:val="000000"/>
                <w:sz w:val="22"/>
                <w:szCs w:val="22"/>
                <w:u w:val="none"/>
                <w:shd w:fill="auto" w:val="clear"/>
                <w:vertAlign w:val="baseline"/>
                <w:rtl w:val="0"/>
              </w:rPr>
              <w:t xml:space="preserve">4.1.4. Πολιτικές για την ψυχική υγεία συγκεκριμένων ομάδων πληθυσμού</w:t>
            </w:r>
          </w:hyperlink>
          <w:hyperlink w:anchor="_heading=h.3as4poj">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t xml:space="preserve">42</w:t>
            </w:r>
          </w:hyperlink>
          <w:r w:rsidDel="00000000" w:rsidR="00000000" w:rsidRPr="00000000">
            <w:rPr>
              <w:rtl w:val="0"/>
            </w:rPr>
          </w:r>
        </w:p>
        <w:p w:rsidR="00000000" w:rsidDel="00000000" w:rsidP="00000000" w:rsidRDefault="00000000" w:rsidRPr="00000000" w14:paraId="0000006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7360"/>
            </w:tabs>
            <w:spacing w:after="100" w:before="0" w:line="360" w:lineRule="auto"/>
            <w:ind w:left="22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1pxezwc">
            <w:r w:rsidDel="00000000" w:rsidR="00000000" w:rsidRPr="00000000">
              <w:rPr>
                <w:rFonts w:ascii="Times New Roman" w:cs="Times New Roman" w:eastAsia="Times New Roman" w:hAnsi="Times New Roman"/>
                <w:b w:val="0"/>
                <w:i w:val="1"/>
                <w:smallCaps w:val="0"/>
                <w:strike w:val="0"/>
                <w:color w:val="000000"/>
                <w:sz w:val="22"/>
                <w:szCs w:val="22"/>
                <w:u w:val="none"/>
                <w:shd w:fill="auto" w:val="clear"/>
                <w:vertAlign w:val="baseline"/>
                <w:rtl w:val="0"/>
              </w:rPr>
              <w:t xml:space="preserve">4.1.5. Χρήση δεικτών αξιολόγησης των παρεχόμενων υπηρεσιών από τους λήπτες υπηρεσιών ψυχικής υγείας</w:t>
            </w:r>
          </w:hyperlink>
          <w:hyperlink w:anchor="_heading=h.1pxezwc">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t xml:space="preserve">43</w:t>
            </w:r>
          </w:hyperlink>
          <w:r w:rsidDel="00000000" w:rsidR="00000000" w:rsidRPr="00000000">
            <w:rPr>
              <w:rtl w:val="0"/>
            </w:rPr>
          </w:r>
        </w:p>
        <w:p w:rsidR="00000000" w:rsidDel="00000000" w:rsidP="00000000" w:rsidRDefault="00000000" w:rsidRPr="00000000" w14:paraId="0000007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8296"/>
            </w:tabs>
            <w:spacing w:after="0" w:before="0" w:line="276" w:lineRule="auto"/>
            <w:ind w:left="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49x2ik5">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4.2. Προσβασιμότητα και ποιότητα υπηρεσιών ψυχικής υγείας</w:t>
              <w:tab/>
              <w:t xml:space="preserve">44</w:t>
            </w:r>
          </w:hyperlink>
          <w:r w:rsidDel="00000000" w:rsidR="00000000" w:rsidRPr="00000000">
            <w:rPr>
              <w:rtl w:val="0"/>
            </w:rPr>
          </w:r>
        </w:p>
        <w:p w:rsidR="00000000" w:rsidDel="00000000" w:rsidP="00000000" w:rsidRDefault="00000000" w:rsidRPr="00000000" w14:paraId="0000007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7360"/>
            </w:tabs>
            <w:spacing w:after="100" w:before="0" w:line="360" w:lineRule="auto"/>
            <w:ind w:left="22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2p2csry">
            <w:r w:rsidDel="00000000" w:rsidR="00000000" w:rsidRPr="00000000">
              <w:rPr>
                <w:rFonts w:ascii="Times New Roman" w:cs="Times New Roman" w:eastAsia="Times New Roman" w:hAnsi="Times New Roman"/>
                <w:b w:val="0"/>
                <w:i w:val="1"/>
                <w:smallCaps w:val="0"/>
                <w:strike w:val="0"/>
                <w:color w:val="000000"/>
                <w:sz w:val="22"/>
                <w:szCs w:val="22"/>
                <w:u w:val="none"/>
                <w:shd w:fill="auto" w:val="clear"/>
                <w:vertAlign w:val="baseline"/>
                <w:rtl w:val="0"/>
              </w:rPr>
              <w:t xml:space="preserve">4.2.1. Κάλυψη αναγκών για υπηρεσίες ψυχικής υγείας</w:t>
            </w:r>
          </w:hyperlink>
          <w:hyperlink w:anchor="_heading=h.2p2csry">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t xml:space="preserve">44</w:t>
            </w:r>
          </w:hyperlink>
          <w:r w:rsidDel="00000000" w:rsidR="00000000" w:rsidRPr="00000000">
            <w:rPr>
              <w:rtl w:val="0"/>
            </w:rPr>
          </w:r>
        </w:p>
        <w:p w:rsidR="00000000" w:rsidDel="00000000" w:rsidP="00000000" w:rsidRDefault="00000000" w:rsidRPr="00000000" w14:paraId="0000007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7360"/>
            </w:tabs>
            <w:spacing w:after="100" w:before="0" w:line="360" w:lineRule="auto"/>
            <w:ind w:left="22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147n2zr">
            <w:r w:rsidDel="00000000" w:rsidR="00000000" w:rsidRPr="00000000">
              <w:rPr>
                <w:rFonts w:ascii="Times New Roman" w:cs="Times New Roman" w:eastAsia="Times New Roman" w:hAnsi="Times New Roman"/>
                <w:b w:val="0"/>
                <w:i w:val="1"/>
                <w:smallCaps w:val="0"/>
                <w:strike w:val="0"/>
                <w:color w:val="000000"/>
                <w:sz w:val="22"/>
                <w:szCs w:val="22"/>
                <w:u w:val="none"/>
                <w:shd w:fill="auto" w:val="clear"/>
                <w:vertAlign w:val="baseline"/>
                <w:rtl w:val="0"/>
              </w:rPr>
              <w:t xml:space="preserve">4.2.2. Οικονομική κάλυψη των υπηρεσιών ψυχικής υγείας</w:t>
            </w:r>
          </w:hyperlink>
          <w:hyperlink w:anchor="_heading=h.147n2z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t xml:space="preserve">46</w:t>
            </w:r>
          </w:hyperlink>
          <w:r w:rsidDel="00000000" w:rsidR="00000000" w:rsidRPr="00000000">
            <w:rPr>
              <w:rtl w:val="0"/>
            </w:rPr>
          </w:r>
        </w:p>
        <w:p w:rsidR="00000000" w:rsidDel="00000000" w:rsidP="00000000" w:rsidRDefault="00000000" w:rsidRPr="00000000" w14:paraId="00000073">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7360"/>
            </w:tabs>
            <w:spacing w:after="100" w:before="0" w:line="360" w:lineRule="auto"/>
            <w:ind w:left="22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3o7alnk">
            <w:r w:rsidDel="00000000" w:rsidR="00000000" w:rsidRPr="00000000">
              <w:rPr>
                <w:rFonts w:ascii="Times New Roman" w:cs="Times New Roman" w:eastAsia="Times New Roman" w:hAnsi="Times New Roman"/>
                <w:b w:val="0"/>
                <w:i w:val="1"/>
                <w:smallCaps w:val="0"/>
                <w:strike w:val="0"/>
                <w:color w:val="000000"/>
                <w:sz w:val="22"/>
                <w:szCs w:val="22"/>
                <w:u w:val="none"/>
                <w:shd w:fill="auto" w:val="clear"/>
                <w:vertAlign w:val="baseline"/>
                <w:rtl w:val="0"/>
              </w:rPr>
              <w:t xml:space="preserve">4.2.3. Μέσος χρόνος αναμονής για πρόσβαση στις υπηρεσίες ψυχικής υγείας</w:t>
            </w:r>
          </w:hyperlink>
          <w:hyperlink w:anchor="_heading=h.3o7alnk">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t xml:space="preserve">47</w:t>
            </w:r>
          </w:hyperlink>
          <w:r w:rsidDel="00000000" w:rsidR="00000000" w:rsidRPr="00000000">
            <w:rPr>
              <w:rtl w:val="0"/>
            </w:rPr>
          </w:r>
        </w:p>
        <w:p w:rsidR="00000000" w:rsidDel="00000000" w:rsidP="00000000" w:rsidRDefault="00000000" w:rsidRPr="00000000" w14:paraId="0000007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7360"/>
            </w:tabs>
            <w:spacing w:after="100" w:before="0" w:line="360" w:lineRule="auto"/>
            <w:ind w:left="22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23ckvvd">
            <w:r w:rsidDel="00000000" w:rsidR="00000000" w:rsidRPr="00000000">
              <w:rPr>
                <w:rFonts w:ascii="Times New Roman" w:cs="Times New Roman" w:eastAsia="Times New Roman" w:hAnsi="Times New Roman"/>
                <w:b w:val="0"/>
                <w:i w:val="1"/>
                <w:smallCaps w:val="0"/>
                <w:strike w:val="0"/>
                <w:color w:val="000000"/>
                <w:sz w:val="22"/>
                <w:szCs w:val="22"/>
                <w:u w:val="none"/>
                <w:shd w:fill="auto" w:val="clear"/>
                <w:vertAlign w:val="baseline"/>
                <w:rtl w:val="0"/>
              </w:rPr>
              <w:t xml:space="preserve">4.2.4. Πρόσβαση στις υπηρεσίες</w:t>
            </w:r>
          </w:hyperlink>
          <w:hyperlink w:anchor="_heading=h.23ckvvd">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t xml:space="preserve">48</w:t>
            </w:r>
          </w:hyperlink>
          <w:r w:rsidDel="00000000" w:rsidR="00000000" w:rsidRPr="00000000">
            <w:rPr>
              <w:rtl w:val="0"/>
            </w:rPr>
          </w:r>
        </w:p>
        <w:p w:rsidR="00000000" w:rsidDel="00000000" w:rsidP="00000000" w:rsidRDefault="00000000" w:rsidRPr="00000000" w14:paraId="0000007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7360"/>
            </w:tabs>
            <w:spacing w:after="100" w:before="0" w:line="360" w:lineRule="auto"/>
            <w:ind w:left="22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ihv636">
            <w:r w:rsidDel="00000000" w:rsidR="00000000" w:rsidRPr="00000000">
              <w:rPr>
                <w:rFonts w:ascii="Times New Roman" w:cs="Times New Roman" w:eastAsia="Times New Roman" w:hAnsi="Times New Roman"/>
                <w:b w:val="0"/>
                <w:i w:val="1"/>
                <w:smallCaps w:val="0"/>
                <w:strike w:val="0"/>
                <w:color w:val="000000"/>
                <w:sz w:val="22"/>
                <w:szCs w:val="22"/>
                <w:u w:val="none"/>
                <w:shd w:fill="auto" w:val="clear"/>
                <w:vertAlign w:val="baseline"/>
                <w:rtl w:val="0"/>
              </w:rPr>
              <w:t xml:space="preserve">4.2.5. Ανάπτυξη κοινοτικών υπηρεσιών</w:t>
            </w:r>
          </w:hyperlink>
          <w:hyperlink w:anchor="_heading=h.ihv636">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t xml:space="preserve">51</w:t>
            </w:r>
          </w:hyperlink>
          <w:r w:rsidDel="00000000" w:rsidR="00000000" w:rsidRPr="00000000">
            <w:rPr>
              <w:rtl w:val="0"/>
            </w:rPr>
          </w:r>
        </w:p>
        <w:p w:rsidR="00000000" w:rsidDel="00000000" w:rsidP="00000000" w:rsidRDefault="00000000" w:rsidRPr="00000000" w14:paraId="0000007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7360"/>
            </w:tabs>
            <w:spacing w:after="100" w:before="0" w:line="360" w:lineRule="auto"/>
            <w:ind w:left="22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32hioqz">
            <w:r w:rsidDel="00000000" w:rsidR="00000000" w:rsidRPr="00000000">
              <w:rPr>
                <w:rFonts w:ascii="Times New Roman" w:cs="Times New Roman" w:eastAsia="Times New Roman" w:hAnsi="Times New Roman"/>
                <w:b w:val="0"/>
                <w:i w:val="1"/>
                <w:smallCaps w:val="0"/>
                <w:strike w:val="0"/>
                <w:color w:val="000000"/>
                <w:sz w:val="22"/>
                <w:szCs w:val="22"/>
                <w:u w:val="none"/>
                <w:shd w:fill="auto" w:val="clear"/>
                <w:vertAlign w:val="baseline"/>
                <w:rtl w:val="0"/>
              </w:rPr>
              <w:t xml:space="preserve">4.2.6. Χρήση ενδονοσοκομειακών υπηρεσιών</w:t>
            </w:r>
          </w:hyperlink>
          <w:hyperlink w:anchor="_heading=h.32hioqz">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t xml:space="preserve">53</w:t>
            </w:r>
          </w:hyperlink>
          <w:r w:rsidDel="00000000" w:rsidR="00000000" w:rsidRPr="00000000">
            <w:rPr>
              <w:rtl w:val="0"/>
            </w:rPr>
          </w:r>
        </w:p>
        <w:p w:rsidR="00000000" w:rsidDel="00000000" w:rsidP="00000000" w:rsidRDefault="00000000" w:rsidRPr="00000000" w14:paraId="00000077">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7360"/>
            </w:tabs>
            <w:spacing w:after="100" w:before="0" w:line="360" w:lineRule="auto"/>
            <w:ind w:left="22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1hmsyys">
            <w:r w:rsidDel="00000000" w:rsidR="00000000" w:rsidRPr="00000000">
              <w:rPr>
                <w:rFonts w:ascii="Times New Roman" w:cs="Times New Roman" w:eastAsia="Times New Roman" w:hAnsi="Times New Roman"/>
                <w:b w:val="0"/>
                <w:i w:val="1"/>
                <w:smallCaps w:val="0"/>
                <w:strike w:val="0"/>
                <w:color w:val="000000"/>
                <w:sz w:val="22"/>
                <w:szCs w:val="22"/>
                <w:u w:val="none"/>
                <w:shd w:fill="auto" w:val="clear"/>
                <w:vertAlign w:val="baseline"/>
                <w:rtl w:val="0"/>
              </w:rPr>
              <w:t xml:space="preserve">4.2.7. Διασφάλιση της συνέχειας της φροντίδας</w:t>
            </w:r>
          </w:hyperlink>
          <w:hyperlink w:anchor="_heading=h.1hmsyys">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t xml:space="preserve">57</w:t>
            </w:r>
          </w:hyperlink>
          <w:r w:rsidDel="00000000" w:rsidR="00000000" w:rsidRPr="00000000">
            <w:rPr>
              <w:rtl w:val="0"/>
            </w:rPr>
          </w:r>
        </w:p>
        <w:p w:rsidR="00000000" w:rsidDel="00000000" w:rsidP="00000000" w:rsidRDefault="00000000" w:rsidRPr="00000000" w14:paraId="0000007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7360"/>
            </w:tabs>
            <w:spacing w:after="100" w:before="0" w:line="360" w:lineRule="auto"/>
            <w:ind w:left="22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41mghml">
            <w:r w:rsidDel="00000000" w:rsidR="00000000" w:rsidRPr="00000000">
              <w:rPr>
                <w:rFonts w:ascii="Times New Roman" w:cs="Times New Roman" w:eastAsia="Times New Roman" w:hAnsi="Times New Roman"/>
                <w:b w:val="0"/>
                <w:i w:val="1"/>
                <w:smallCaps w:val="0"/>
                <w:strike w:val="0"/>
                <w:color w:val="000000"/>
                <w:sz w:val="22"/>
                <w:szCs w:val="22"/>
                <w:u w:val="none"/>
                <w:shd w:fill="auto" w:val="clear"/>
                <w:vertAlign w:val="baseline"/>
                <w:rtl w:val="0"/>
              </w:rPr>
              <w:t xml:space="preserve">4.2.8. Πρόσβαση σε ψυχοθεραπεία</w:t>
            </w:r>
          </w:hyperlink>
          <w:hyperlink w:anchor="_heading=h.41mghml">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t xml:space="preserve">58</w:t>
            </w:r>
          </w:hyperlink>
          <w:r w:rsidDel="00000000" w:rsidR="00000000" w:rsidRPr="00000000">
            <w:rPr>
              <w:rtl w:val="0"/>
            </w:rPr>
          </w:r>
        </w:p>
        <w:p w:rsidR="00000000" w:rsidDel="00000000" w:rsidP="00000000" w:rsidRDefault="00000000" w:rsidRPr="00000000" w14:paraId="0000007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7360"/>
            </w:tabs>
            <w:spacing w:after="100" w:before="0" w:line="360" w:lineRule="auto"/>
            <w:ind w:left="22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2grqrue">
            <w:r w:rsidDel="00000000" w:rsidR="00000000" w:rsidRPr="00000000">
              <w:rPr>
                <w:rFonts w:ascii="Times New Roman" w:cs="Times New Roman" w:eastAsia="Times New Roman" w:hAnsi="Times New Roman"/>
                <w:b w:val="0"/>
                <w:i w:val="1"/>
                <w:smallCaps w:val="0"/>
                <w:strike w:val="0"/>
                <w:color w:val="000000"/>
                <w:sz w:val="22"/>
                <w:szCs w:val="22"/>
                <w:u w:val="none"/>
                <w:shd w:fill="auto" w:val="clear"/>
                <w:vertAlign w:val="baseline"/>
                <w:rtl w:val="0"/>
              </w:rPr>
              <w:t xml:space="preserve">4.2.9. Ολοκληρωμένη συνεχής κοινοτική φροντίδα για τη βελτίωση της ψυχικής υγείας για άτομα με σοβαρά προβλήματα ψυχικής υγείας</w:t>
            </w:r>
          </w:hyperlink>
          <w:hyperlink w:anchor="_heading=h.2grqrue">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t xml:space="preserve">59</w:t>
            </w:r>
          </w:hyperlink>
          <w:r w:rsidDel="00000000" w:rsidR="00000000" w:rsidRPr="00000000">
            <w:rPr>
              <w:rtl w:val="0"/>
            </w:rPr>
          </w:r>
        </w:p>
        <w:p w:rsidR="00000000" w:rsidDel="00000000" w:rsidP="00000000" w:rsidRDefault="00000000" w:rsidRPr="00000000" w14:paraId="0000007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7360"/>
            </w:tabs>
            <w:spacing w:after="100" w:before="0" w:line="360" w:lineRule="auto"/>
            <w:ind w:left="22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vx1227">
            <w:r w:rsidDel="00000000" w:rsidR="00000000" w:rsidRPr="00000000">
              <w:rPr>
                <w:rFonts w:ascii="Times New Roman" w:cs="Times New Roman" w:eastAsia="Times New Roman" w:hAnsi="Times New Roman"/>
                <w:b w:val="0"/>
                <w:i w:val="1"/>
                <w:smallCaps w:val="0"/>
                <w:strike w:val="0"/>
                <w:color w:val="000000"/>
                <w:sz w:val="22"/>
                <w:szCs w:val="22"/>
                <w:u w:val="none"/>
                <w:shd w:fill="auto" w:val="clear"/>
                <w:vertAlign w:val="baseline"/>
                <w:rtl w:val="0"/>
              </w:rPr>
              <w:t xml:space="preserve">4.2.10. Χρήση μέτρων καταναγκασμού</w:t>
            </w:r>
          </w:hyperlink>
          <w:hyperlink w:anchor="_heading=h.vx1227">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t xml:space="preserve">60</w:t>
            </w:r>
          </w:hyperlink>
          <w:r w:rsidDel="00000000" w:rsidR="00000000" w:rsidRPr="00000000">
            <w:rPr>
              <w:rtl w:val="0"/>
            </w:rPr>
          </w:r>
        </w:p>
        <w:p w:rsidR="00000000" w:rsidDel="00000000" w:rsidP="00000000" w:rsidRDefault="00000000" w:rsidRPr="00000000" w14:paraId="0000007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8296"/>
            </w:tabs>
            <w:spacing w:after="0" w:before="0" w:line="276" w:lineRule="auto"/>
            <w:ind w:left="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3fwokq0">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4.3. Ολοκληρωμένη και πολυτομεακή προσέγγιση της ψυχικής υγείας</w:t>
              <w:tab/>
              <w:t xml:space="preserve">61</w:t>
            </w:r>
          </w:hyperlink>
          <w:r w:rsidDel="00000000" w:rsidR="00000000" w:rsidRPr="00000000">
            <w:rPr>
              <w:rtl w:val="0"/>
            </w:rPr>
          </w:r>
        </w:p>
        <w:p w:rsidR="00000000" w:rsidDel="00000000" w:rsidP="00000000" w:rsidRDefault="00000000" w:rsidRPr="00000000" w14:paraId="0000007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7360"/>
            </w:tabs>
            <w:spacing w:after="100" w:before="0" w:line="360" w:lineRule="auto"/>
            <w:ind w:left="22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1v1yuxt">
            <w:r w:rsidDel="00000000" w:rsidR="00000000" w:rsidRPr="00000000">
              <w:rPr>
                <w:rFonts w:ascii="Times New Roman" w:cs="Times New Roman" w:eastAsia="Times New Roman" w:hAnsi="Times New Roman"/>
                <w:b w:val="0"/>
                <w:i w:val="1"/>
                <w:smallCaps w:val="0"/>
                <w:strike w:val="0"/>
                <w:color w:val="000000"/>
                <w:sz w:val="22"/>
                <w:szCs w:val="22"/>
                <w:u w:val="none"/>
                <w:shd w:fill="auto" w:val="clear"/>
                <w:vertAlign w:val="baseline"/>
                <w:rtl w:val="0"/>
              </w:rPr>
              <w:t xml:space="preserve">4.3.1. Πολυτομεακή προσέγγιση της ψυχικής υγείας</w:t>
            </w:r>
          </w:hyperlink>
          <w:hyperlink w:anchor="_heading=h.1v1yuxt">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t xml:space="preserve">61</w:t>
            </w:r>
          </w:hyperlink>
          <w:r w:rsidDel="00000000" w:rsidR="00000000" w:rsidRPr="00000000">
            <w:rPr>
              <w:rtl w:val="0"/>
            </w:rPr>
          </w:r>
        </w:p>
        <w:p w:rsidR="00000000" w:rsidDel="00000000" w:rsidP="00000000" w:rsidRDefault="00000000" w:rsidRPr="00000000" w14:paraId="0000007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7360"/>
            </w:tabs>
            <w:spacing w:after="100" w:before="0" w:line="360" w:lineRule="auto"/>
            <w:ind w:left="22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4f1mdlm">
            <w:r w:rsidDel="00000000" w:rsidR="00000000" w:rsidRPr="00000000">
              <w:rPr>
                <w:rFonts w:ascii="Times New Roman" w:cs="Times New Roman" w:eastAsia="Times New Roman" w:hAnsi="Times New Roman"/>
                <w:b w:val="0"/>
                <w:i w:val="1"/>
                <w:smallCaps w:val="0"/>
                <w:strike w:val="0"/>
                <w:color w:val="000000"/>
                <w:sz w:val="22"/>
                <w:szCs w:val="22"/>
                <w:u w:val="none"/>
                <w:shd w:fill="auto" w:val="clear"/>
                <w:vertAlign w:val="baseline"/>
                <w:rtl w:val="0"/>
              </w:rPr>
              <w:t xml:space="preserve">4.3.2. Διασφάλιση σωματικών αναγκών</w:t>
            </w:r>
          </w:hyperlink>
          <w:hyperlink w:anchor="_heading=h.4f1mdlm">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t xml:space="preserve">64</w:t>
            </w:r>
          </w:hyperlink>
          <w:r w:rsidDel="00000000" w:rsidR="00000000" w:rsidRPr="00000000">
            <w:rPr>
              <w:rtl w:val="0"/>
            </w:rPr>
          </w:r>
        </w:p>
        <w:p w:rsidR="00000000" w:rsidDel="00000000" w:rsidP="00000000" w:rsidRDefault="00000000" w:rsidRPr="00000000" w14:paraId="0000007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7360"/>
            </w:tabs>
            <w:spacing w:after="100" w:before="0" w:line="360" w:lineRule="auto"/>
            <w:ind w:left="22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2u6wntf">
            <w:r w:rsidDel="00000000" w:rsidR="00000000" w:rsidRPr="00000000">
              <w:rPr>
                <w:rFonts w:ascii="Times New Roman" w:cs="Times New Roman" w:eastAsia="Times New Roman" w:hAnsi="Times New Roman"/>
                <w:b w:val="0"/>
                <w:i w:val="1"/>
                <w:smallCaps w:val="0"/>
                <w:strike w:val="0"/>
                <w:color w:val="000000"/>
                <w:sz w:val="22"/>
                <w:szCs w:val="22"/>
                <w:u w:val="none"/>
                <w:shd w:fill="auto" w:val="clear"/>
                <w:vertAlign w:val="baseline"/>
                <w:rtl w:val="0"/>
              </w:rPr>
              <w:t xml:space="preserve">4.3.3.Επιπτώσεις στην εκπαίδευση και στην απασχόληση</w:t>
            </w:r>
          </w:hyperlink>
          <w:hyperlink w:anchor="_heading=h.2u6wntf">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t xml:space="preserve">66</w:t>
            </w:r>
          </w:hyperlink>
          <w:r w:rsidDel="00000000" w:rsidR="00000000" w:rsidRPr="00000000">
            <w:rPr>
              <w:rtl w:val="0"/>
            </w:rPr>
          </w:r>
        </w:p>
        <w:p w:rsidR="00000000" w:rsidDel="00000000" w:rsidP="00000000" w:rsidRDefault="00000000" w:rsidRPr="00000000" w14:paraId="0000007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7360"/>
            </w:tabs>
            <w:spacing w:after="100" w:before="0" w:line="360" w:lineRule="auto"/>
            <w:ind w:left="22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19c6y18">
            <w:r w:rsidDel="00000000" w:rsidR="00000000" w:rsidRPr="00000000">
              <w:rPr>
                <w:rFonts w:ascii="Times New Roman" w:cs="Times New Roman" w:eastAsia="Times New Roman" w:hAnsi="Times New Roman"/>
                <w:b w:val="0"/>
                <w:i w:val="1"/>
                <w:smallCaps w:val="0"/>
                <w:strike w:val="0"/>
                <w:color w:val="000000"/>
                <w:sz w:val="22"/>
                <w:szCs w:val="22"/>
                <w:u w:val="none"/>
                <w:shd w:fill="auto" w:val="clear"/>
                <w:vertAlign w:val="baseline"/>
                <w:rtl w:val="0"/>
              </w:rPr>
              <w:t xml:space="preserve">4.3.4. Πολιτικές για την επιστροφή στην εργασία</w:t>
            </w:r>
          </w:hyperlink>
          <w:hyperlink w:anchor="_heading=h.19c6y18">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t xml:space="preserve">68</w:t>
            </w:r>
          </w:hyperlink>
          <w:r w:rsidDel="00000000" w:rsidR="00000000" w:rsidRPr="00000000">
            <w:rPr>
              <w:rtl w:val="0"/>
            </w:rPr>
          </w:r>
        </w:p>
        <w:p w:rsidR="00000000" w:rsidDel="00000000" w:rsidP="00000000" w:rsidRDefault="00000000" w:rsidRPr="00000000" w14:paraId="0000008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8296"/>
            </w:tabs>
            <w:spacing w:after="0" w:before="0" w:line="276" w:lineRule="auto"/>
            <w:ind w:left="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3tbugp1">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4.4. Πρόληψη ψυχικής ασθένειας και προαγωγή υγείας</w:t>
              <w:tab/>
              <w:t xml:space="preserve">70</w:t>
            </w:r>
          </w:hyperlink>
          <w:r w:rsidDel="00000000" w:rsidR="00000000" w:rsidRPr="00000000">
            <w:rPr>
              <w:rtl w:val="0"/>
            </w:rPr>
          </w:r>
        </w:p>
        <w:p w:rsidR="00000000" w:rsidDel="00000000" w:rsidP="00000000" w:rsidRDefault="00000000" w:rsidRPr="00000000" w14:paraId="0000008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7360"/>
            </w:tabs>
            <w:spacing w:after="100" w:before="0" w:line="360" w:lineRule="auto"/>
            <w:ind w:left="22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28h4qwu">
            <w:r w:rsidDel="00000000" w:rsidR="00000000" w:rsidRPr="00000000">
              <w:rPr>
                <w:rFonts w:ascii="Times New Roman" w:cs="Times New Roman" w:eastAsia="Times New Roman" w:hAnsi="Times New Roman"/>
                <w:b w:val="0"/>
                <w:i w:val="1"/>
                <w:smallCaps w:val="0"/>
                <w:strike w:val="0"/>
                <w:color w:val="000000"/>
                <w:sz w:val="22"/>
                <w:szCs w:val="22"/>
                <w:u w:val="none"/>
                <w:shd w:fill="auto" w:val="clear"/>
                <w:vertAlign w:val="baseline"/>
                <w:rtl w:val="0"/>
              </w:rPr>
              <w:t xml:space="preserve">4.4.1. Προαγωγή και πρόληψη της ψυχικής υγείας στα σχολεία</w:t>
            </w:r>
          </w:hyperlink>
          <w:hyperlink w:anchor="_heading=h.28h4qwu">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t xml:space="preserve">70</w:t>
            </w:r>
          </w:hyperlink>
          <w:r w:rsidDel="00000000" w:rsidR="00000000" w:rsidRPr="00000000">
            <w:rPr>
              <w:rtl w:val="0"/>
            </w:rPr>
          </w:r>
        </w:p>
        <w:p w:rsidR="00000000" w:rsidDel="00000000" w:rsidP="00000000" w:rsidRDefault="00000000" w:rsidRPr="00000000" w14:paraId="0000008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7360"/>
            </w:tabs>
            <w:spacing w:after="100" w:before="0" w:line="360" w:lineRule="auto"/>
            <w:ind w:left="22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nmf14n">
            <w:r w:rsidDel="00000000" w:rsidR="00000000" w:rsidRPr="00000000">
              <w:rPr>
                <w:rFonts w:ascii="Times New Roman" w:cs="Times New Roman" w:eastAsia="Times New Roman" w:hAnsi="Times New Roman"/>
                <w:b w:val="0"/>
                <w:i w:val="1"/>
                <w:smallCaps w:val="0"/>
                <w:strike w:val="0"/>
                <w:color w:val="000000"/>
                <w:sz w:val="22"/>
                <w:szCs w:val="22"/>
                <w:u w:val="none"/>
                <w:shd w:fill="auto" w:val="clear"/>
                <w:vertAlign w:val="baseline"/>
                <w:rtl w:val="0"/>
              </w:rPr>
              <w:t xml:space="preserve">4.4.2. Προγράμματα αλφαβητισμού στην ψυχική υγεία &amp; πρόληψη αυτοκτονιών</w:t>
            </w:r>
          </w:hyperlink>
          <w:hyperlink w:anchor="_heading=h.nmf14n">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t xml:space="preserve">72</w:t>
            </w:r>
          </w:hyperlink>
          <w:r w:rsidDel="00000000" w:rsidR="00000000" w:rsidRPr="00000000">
            <w:rPr>
              <w:rtl w:val="0"/>
            </w:rPr>
          </w:r>
        </w:p>
        <w:p w:rsidR="00000000" w:rsidDel="00000000" w:rsidP="00000000" w:rsidRDefault="00000000" w:rsidRPr="00000000" w14:paraId="00000083">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7360"/>
            </w:tabs>
            <w:spacing w:after="100" w:before="0" w:line="360" w:lineRule="auto"/>
            <w:ind w:left="22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37m2jsg">
            <w:r w:rsidDel="00000000" w:rsidR="00000000" w:rsidRPr="00000000">
              <w:rPr>
                <w:rFonts w:ascii="Times New Roman" w:cs="Times New Roman" w:eastAsia="Times New Roman" w:hAnsi="Times New Roman"/>
                <w:b w:val="0"/>
                <w:i w:val="1"/>
                <w:smallCaps w:val="0"/>
                <w:strike w:val="0"/>
                <w:color w:val="000000"/>
                <w:sz w:val="22"/>
                <w:szCs w:val="22"/>
                <w:u w:val="none"/>
                <w:shd w:fill="auto" w:val="clear"/>
                <w:vertAlign w:val="baseline"/>
                <w:rtl w:val="0"/>
              </w:rPr>
              <w:t xml:space="preserve">4.4.3.Πρόληψη στους χώρους εργασίας</w:t>
            </w:r>
          </w:hyperlink>
          <w:hyperlink w:anchor="_heading=h.37m2jsg">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t xml:space="preserve">75</w:t>
            </w:r>
          </w:hyperlink>
          <w:r w:rsidDel="00000000" w:rsidR="00000000" w:rsidRPr="00000000">
            <w:rPr>
              <w:rtl w:val="0"/>
            </w:rPr>
          </w:r>
        </w:p>
        <w:p w:rsidR="00000000" w:rsidDel="00000000" w:rsidP="00000000" w:rsidRDefault="00000000" w:rsidRPr="00000000" w14:paraId="0000008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7360"/>
            </w:tabs>
            <w:spacing w:after="100" w:before="0" w:line="360" w:lineRule="auto"/>
            <w:ind w:left="22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1mrcu09">
            <w:r w:rsidDel="00000000" w:rsidR="00000000" w:rsidRPr="00000000">
              <w:rPr>
                <w:rFonts w:ascii="Times New Roman" w:cs="Times New Roman" w:eastAsia="Times New Roman" w:hAnsi="Times New Roman"/>
                <w:b w:val="0"/>
                <w:i w:val="1"/>
                <w:smallCaps w:val="0"/>
                <w:strike w:val="0"/>
                <w:color w:val="000000"/>
                <w:sz w:val="22"/>
                <w:szCs w:val="22"/>
                <w:u w:val="none"/>
                <w:shd w:fill="auto" w:val="clear"/>
                <w:vertAlign w:val="baseline"/>
                <w:rtl w:val="0"/>
              </w:rPr>
              <w:t xml:space="preserve">4.4.5.Δράσεις ενάντια στο στίγμα</w:t>
            </w:r>
          </w:hyperlink>
          <w:hyperlink w:anchor="_heading=h.1mrcu09">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t xml:space="preserve">77</w:t>
            </w:r>
          </w:hyperlink>
          <w:r w:rsidDel="00000000" w:rsidR="00000000" w:rsidRPr="00000000">
            <w:rPr>
              <w:rtl w:val="0"/>
            </w:rPr>
          </w:r>
        </w:p>
        <w:p w:rsidR="00000000" w:rsidDel="00000000" w:rsidP="00000000" w:rsidRDefault="00000000" w:rsidRPr="00000000" w14:paraId="0000008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8296"/>
            </w:tabs>
            <w:spacing w:after="0" w:before="0" w:line="276" w:lineRule="auto"/>
            <w:ind w:left="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46r0co2">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4.5. Δαπάνες για την ψυχική υγεία</w:t>
              <w:tab/>
              <w:t xml:space="preserve">78</w:t>
            </w:r>
          </w:hyperlink>
          <w:r w:rsidDel="00000000" w:rsidR="00000000" w:rsidRPr="00000000">
            <w:rPr>
              <w:rtl w:val="0"/>
            </w:rPr>
          </w:r>
        </w:p>
        <w:p w:rsidR="00000000" w:rsidDel="00000000" w:rsidP="00000000" w:rsidRDefault="00000000" w:rsidRPr="00000000" w14:paraId="0000008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7360"/>
            </w:tabs>
            <w:spacing w:after="100" w:before="0" w:line="360" w:lineRule="auto"/>
            <w:ind w:left="22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2lwamvv">
            <w:r w:rsidDel="00000000" w:rsidR="00000000" w:rsidRPr="00000000">
              <w:rPr>
                <w:rFonts w:ascii="Times New Roman" w:cs="Times New Roman" w:eastAsia="Times New Roman" w:hAnsi="Times New Roman"/>
                <w:b w:val="0"/>
                <w:i w:val="1"/>
                <w:smallCaps w:val="0"/>
                <w:strike w:val="0"/>
                <w:color w:val="000000"/>
                <w:sz w:val="22"/>
                <w:szCs w:val="22"/>
                <w:u w:val="none"/>
                <w:shd w:fill="auto" w:val="clear"/>
                <w:vertAlign w:val="baseline"/>
                <w:rtl w:val="0"/>
              </w:rPr>
              <w:t xml:space="preserve">4.5.1.Κατανομή του οικονομικού κόστους</w:t>
            </w:r>
          </w:hyperlink>
          <w:hyperlink w:anchor="_heading=h.2lwamvv">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t xml:space="preserve">78</w:t>
            </w:r>
          </w:hyperlink>
          <w:r w:rsidDel="00000000" w:rsidR="00000000" w:rsidRPr="00000000">
            <w:rPr>
              <w:rtl w:val="0"/>
            </w:rPr>
          </w:r>
        </w:p>
        <w:p w:rsidR="00000000" w:rsidDel="00000000" w:rsidP="00000000" w:rsidRDefault="00000000" w:rsidRPr="00000000" w14:paraId="00000087">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7360"/>
            </w:tabs>
            <w:spacing w:after="100" w:before="0" w:line="360" w:lineRule="auto"/>
            <w:ind w:left="22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111kx3o">
            <w:r w:rsidDel="00000000" w:rsidR="00000000" w:rsidRPr="00000000">
              <w:rPr>
                <w:rFonts w:ascii="Times New Roman" w:cs="Times New Roman" w:eastAsia="Times New Roman" w:hAnsi="Times New Roman"/>
                <w:b w:val="0"/>
                <w:i w:val="1"/>
                <w:smallCaps w:val="0"/>
                <w:strike w:val="0"/>
                <w:color w:val="000000"/>
                <w:sz w:val="22"/>
                <w:szCs w:val="22"/>
                <w:u w:val="none"/>
                <w:shd w:fill="auto" w:val="clear"/>
                <w:vertAlign w:val="baseline"/>
                <w:rtl w:val="0"/>
              </w:rPr>
              <w:t xml:space="preserve">4.5.2. Αποτελεσματική κατανομή πόρων</w:t>
            </w:r>
          </w:hyperlink>
          <w:hyperlink w:anchor="_heading=h.111kx3o">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t xml:space="preserve">83</w:t>
            </w:r>
          </w:hyperlink>
          <w:r w:rsidDel="00000000" w:rsidR="00000000" w:rsidRPr="00000000">
            <w:rPr>
              <w:rtl w:val="0"/>
            </w:rPr>
          </w:r>
        </w:p>
        <w:p w:rsidR="00000000" w:rsidDel="00000000" w:rsidP="00000000" w:rsidRDefault="00000000" w:rsidRPr="00000000" w14:paraId="0000008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7360"/>
            </w:tabs>
            <w:spacing w:after="100" w:before="0" w:line="360" w:lineRule="auto"/>
            <w:ind w:left="22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3l18frh">
            <w:r w:rsidDel="00000000" w:rsidR="00000000" w:rsidRPr="00000000">
              <w:rPr>
                <w:rFonts w:ascii="Times New Roman" w:cs="Times New Roman" w:eastAsia="Times New Roman" w:hAnsi="Times New Roman"/>
                <w:b w:val="0"/>
                <w:i w:val="1"/>
                <w:smallCaps w:val="0"/>
                <w:strike w:val="0"/>
                <w:color w:val="000000"/>
                <w:sz w:val="22"/>
                <w:szCs w:val="22"/>
                <w:u w:val="none"/>
                <w:shd w:fill="auto" w:val="clear"/>
                <w:vertAlign w:val="baseline"/>
                <w:rtl w:val="0"/>
              </w:rPr>
              <w:t xml:space="preserve">4.5.3.Δυναμικότητα προσωπικού ψυχικής υγείας</w:t>
            </w:r>
          </w:hyperlink>
          <w:hyperlink w:anchor="_heading=h.3l18frh">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t xml:space="preserve">85</w:t>
            </w:r>
          </w:hyperlink>
          <w:r w:rsidDel="00000000" w:rsidR="00000000" w:rsidRPr="00000000">
            <w:rPr>
              <w:rtl w:val="0"/>
            </w:rPr>
          </w:r>
        </w:p>
        <w:p w:rsidR="00000000" w:rsidDel="00000000" w:rsidP="00000000" w:rsidRDefault="00000000" w:rsidRPr="00000000" w14:paraId="0000008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8296"/>
            </w:tabs>
            <w:spacing w:after="0" w:before="0" w:line="276" w:lineRule="auto"/>
            <w:ind w:left="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206ipza">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ΚΕΦΑΛΑΙΟ V</w:t>
              <w:tab/>
              <w:t xml:space="preserve">89</w:t>
            </w:r>
          </w:hyperlink>
          <w:r w:rsidDel="00000000" w:rsidR="00000000" w:rsidRPr="00000000">
            <w:rPr>
              <w:rtl w:val="0"/>
            </w:rPr>
          </w:r>
        </w:p>
        <w:p w:rsidR="00000000" w:rsidDel="00000000" w:rsidP="00000000" w:rsidRDefault="00000000" w:rsidRPr="00000000" w14:paraId="0000008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8296"/>
            </w:tabs>
            <w:spacing w:after="0" w:before="0" w:line="276" w:lineRule="auto"/>
            <w:ind w:left="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4k668n3">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ΣΥΖΗΤΗΣΗ</w:t>
              <w:tab/>
              <w:t xml:space="preserve">89</w:t>
            </w:r>
          </w:hyperlink>
          <w:r w:rsidDel="00000000" w:rsidR="00000000" w:rsidRPr="00000000">
            <w:rPr>
              <w:rtl w:val="0"/>
            </w:rPr>
          </w:r>
        </w:p>
        <w:p w:rsidR="00000000" w:rsidDel="00000000" w:rsidP="00000000" w:rsidRDefault="00000000" w:rsidRPr="00000000" w14:paraId="0000008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8296"/>
            </w:tabs>
            <w:spacing w:after="0" w:before="0" w:line="276" w:lineRule="auto"/>
            <w:ind w:left="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2zbgiuw">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ΒΙΒΛΙΟΓΡΑΦΙΑ</w:t>
              <w:tab/>
              <w:t xml:space="preserve">96</w:t>
            </w:r>
          </w:hyperlink>
          <w:r w:rsidDel="00000000" w:rsidR="00000000" w:rsidRPr="00000000">
            <w:rPr>
              <w:rtl w:val="0"/>
            </w:rPr>
          </w:r>
        </w:p>
        <w:p w:rsidR="00000000" w:rsidDel="00000000" w:rsidP="00000000" w:rsidRDefault="00000000" w:rsidRPr="00000000" w14:paraId="0000008C">
          <w:pPr>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8D">
      <w:pPr>
        <w:pStyle w:val="Heading1"/>
        <w:jc w:val="center"/>
        <w:rPr>
          <w:rFonts w:ascii="Times New Roman" w:cs="Times New Roman" w:eastAsia="Times New Roman" w:hAnsi="Times New Roman"/>
          <w:color w:val="000000"/>
        </w:rPr>
      </w:pPr>
      <w:bookmarkStart w:colFirst="0" w:colLast="0" w:name="_heading=h.30j0zll" w:id="1"/>
      <w:bookmarkEnd w:id="1"/>
      <w:r w:rsidDel="00000000" w:rsidR="00000000" w:rsidRPr="00000000">
        <w:rPr>
          <w:rFonts w:ascii="Times New Roman" w:cs="Times New Roman" w:eastAsia="Times New Roman" w:hAnsi="Times New Roman"/>
          <w:color w:val="000000"/>
          <w:rtl w:val="0"/>
        </w:rPr>
        <w:t xml:space="preserve">ΚΑΤΑΛΟΓΟΣ ΠΙΝΑΚΩΝ</w:t>
      </w:r>
    </w:p>
    <w:tbl>
      <w:tblPr>
        <w:tblStyle w:val="Table1"/>
        <w:tblW w:w="7585.999999999999"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098"/>
        <w:gridCol w:w="5469"/>
        <w:gridCol w:w="1019"/>
        <w:tblGridChange w:id="0">
          <w:tblGrid>
            <w:gridCol w:w="1098"/>
            <w:gridCol w:w="5469"/>
            <w:gridCol w:w="1019"/>
          </w:tblGrid>
        </w:tblGridChange>
      </w:tblGrid>
      <w:tr>
        <w:trPr>
          <w:cantSplit w:val="0"/>
          <w:tblHeader w:val="0"/>
        </w:trPr>
        <w:tc>
          <w:tcPr>
            <w:tcBorders>
              <w:bottom w:color="000000" w:space="0" w:sz="4" w:val="single"/>
              <w:right w:color="000000" w:space="0" w:sz="4" w:val="single"/>
            </w:tcBorders>
            <w:vAlign w:val="center"/>
          </w:tcPr>
          <w:p w:rsidR="00000000" w:rsidDel="00000000" w:rsidP="00000000" w:rsidRDefault="00000000" w:rsidRPr="00000000" w14:paraId="0000008E">
            <w:pPr>
              <w:spacing w:line="276"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Πίνακας</w:t>
            </w:r>
          </w:p>
        </w:tc>
        <w:tc>
          <w:tcPr>
            <w:tcBorders>
              <w:left w:color="000000" w:space="0" w:sz="4" w:val="single"/>
              <w:bottom w:color="000000" w:space="0" w:sz="4" w:val="single"/>
              <w:right w:color="000000" w:space="0" w:sz="4" w:val="single"/>
            </w:tcBorders>
            <w:vAlign w:val="center"/>
          </w:tcPr>
          <w:p w:rsidR="00000000" w:rsidDel="00000000" w:rsidP="00000000" w:rsidRDefault="00000000" w:rsidRPr="00000000" w14:paraId="0000008F">
            <w:pPr>
              <w:spacing w:line="276"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Τίτλος</w:t>
            </w:r>
          </w:p>
        </w:tc>
        <w:tc>
          <w:tcPr>
            <w:tcBorders>
              <w:left w:color="000000" w:space="0" w:sz="4" w:val="single"/>
              <w:bottom w:color="000000" w:space="0" w:sz="4" w:val="single"/>
            </w:tcBorders>
            <w:vAlign w:val="center"/>
          </w:tcPr>
          <w:p w:rsidR="00000000" w:rsidDel="00000000" w:rsidP="00000000" w:rsidRDefault="00000000" w:rsidRPr="00000000" w14:paraId="00000090">
            <w:pPr>
              <w:spacing w:line="276"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Σελίδα</w:t>
            </w:r>
          </w:p>
        </w:tc>
      </w:tr>
      <w:tr>
        <w:trPr>
          <w:cantSplit w:val="0"/>
          <w:tblHeader w:val="0"/>
        </w:trPr>
        <w:tc>
          <w:tcPr>
            <w:tcBorders>
              <w:top w:color="000000" w:space="0" w:sz="4" w:val="single"/>
              <w:left w:color="000000" w:space="0" w:sz="0" w:val="nil"/>
              <w:bottom w:color="000000" w:space="0" w:sz="4" w:val="single"/>
              <w:right w:color="000000" w:space="0" w:sz="4" w:val="single"/>
            </w:tcBorders>
            <w:vAlign w:val="center"/>
          </w:tcPr>
          <w:p w:rsidR="00000000" w:rsidDel="00000000" w:rsidP="00000000" w:rsidRDefault="00000000" w:rsidRPr="00000000" w14:paraId="00000091">
            <w:pPr>
              <w:spacing w:line="276"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2.1.</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92">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Υπηρεσίες και δομές ψυχικής υγείας στην Ελλάδα</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093">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33</w:t>
            </w:r>
          </w:p>
        </w:tc>
      </w:tr>
      <w:tr>
        <w:trPr>
          <w:cantSplit w:val="0"/>
          <w:tblHeader w:val="0"/>
        </w:trPr>
        <w:tc>
          <w:tcPr>
            <w:tcBorders>
              <w:top w:color="000000" w:space="0" w:sz="4" w:val="single"/>
              <w:left w:color="000000" w:space="0" w:sz="0" w:val="nil"/>
              <w:bottom w:color="000000" w:space="0" w:sz="4" w:val="single"/>
              <w:right w:color="000000" w:space="0" w:sz="4" w:val="single"/>
            </w:tcBorders>
            <w:vAlign w:val="center"/>
          </w:tcPr>
          <w:p w:rsidR="00000000" w:rsidDel="00000000" w:rsidP="00000000" w:rsidRDefault="00000000" w:rsidRPr="00000000" w14:paraId="0000009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4.1.</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95">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Δυνατότητα επιλογής παρόχου ή υπηρεσιών ψυχικής υγείας</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096">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36</w:t>
            </w:r>
          </w:p>
        </w:tc>
      </w:tr>
      <w:tr>
        <w:trPr>
          <w:cantSplit w:val="0"/>
          <w:tblHeader w:val="0"/>
        </w:trPr>
        <w:tc>
          <w:tcPr>
            <w:tcBorders>
              <w:top w:color="000000" w:space="0" w:sz="4" w:val="single"/>
              <w:left w:color="000000" w:space="0" w:sz="0" w:val="nil"/>
              <w:bottom w:color="000000" w:space="0" w:sz="4" w:val="single"/>
              <w:right w:color="000000" w:space="0" w:sz="4" w:val="single"/>
            </w:tcBorders>
            <w:vAlign w:val="center"/>
          </w:tcPr>
          <w:p w:rsidR="00000000" w:rsidDel="00000000" w:rsidP="00000000" w:rsidRDefault="00000000" w:rsidRPr="00000000" w14:paraId="00000097">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4.2.</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98">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Διατομεακή πολιτική για την ψυχική υγεία</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099">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62</w:t>
            </w:r>
          </w:p>
        </w:tc>
      </w:tr>
      <w:tr>
        <w:trPr>
          <w:cantSplit w:val="0"/>
          <w:tblHeader w:val="0"/>
        </w:trPr>
        <w:tc>
          <w:tcPr>
            <w:tcBorders>
              <w:top w:color="000000" w:space="0" w:sz="4" w:val="single"/>
              <w:left w:color="000000" w:space="0" w:sz="0" w:val="nil"/>
              <w:bottom w:color="000000" w:space="0" w:sz="4" w:val="single"/>
              <w:right w:color="000000" w:space="0" w:sz="4" w:val="single"/>
            </w:tcBorders>
            <w:vAlign w:val="center"/>
          </w:tcPr>
          <w:p w:rsidR="00000000" w:rsidDel="00000000" w:rsidP="00000000" w:rsidRDefault="00000000" w:rsidRPr="00000000" w14:paraId="0000009A">
            <w:pPr>
              <w:spacing w:line="276" w:lineRule="auto"/>
              <w:ind w:right="6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4.3.</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9B">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Παραδείγματα πολιτικών για τη διασφάλιση της σωματικής υγείας</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09C">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65</w:t>
            </w:r>
          </w:p>
        </w:tc>
      </w:tr>
      <w:tr>
        <w:trPr>
          <w:cantSplit w:val="0"/>
          <w:tblHeader w:val="0"/>
        </w:trPr>
        <w:tc>
          <w:tcPr>
            <w:tcBorders>
              <w:top w:color="000000" w:space="0" w:sz="4" w:val="single"/>
              <w:left w:color="000000" w:space="0" w:sz="0" w:val="nil"/>
              <w:bottom w:color="000000" w:space="0" w:sz="4" w:val="single"/>
              <w:right w:color="000000" w:space="0" w:sz="4" w:val="single"/>
            </w:tcBorders>
            <w:vAlign w:val="center"/>
          </w:tcPr>
          <w:p w:rsidR="00000000" w:rsidDel="00000000" w:rsidP="00000000" w:rsidRDefault="00000000" w:rsidRPr="00000000" w14:paraId="0000009D">
            <w:pPr>
              <w:spacing w:line="276" w:lineRule="auto"/>
              <w:ind w:left="60" w:right="60" w:firstLine="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4.4.</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9E">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Ένταξη υπηρεσιών ψυχικής υγείας και απασχόλησης</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09F">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69</w:t>
            </w:r>
          </w:p>
        </w:tc>
      </w:tr>
      <w:tr>
        <w:trPr>
          <w:cantSplit w:val="0"/>
          <w:tblHeader w:val="0"/>
        </w:trPr>
        <w:tc>
          <w:tcPr>
            <w:tcBorders>
              <w:top w:color="000000" w:space="0" w:sz="4" w:val="single"/>
              <w:left w:color="000000" w:space="0" w:sz="0" w:val="nil"/>
              <w:bottom w:color="000000" w:space="0" w:sz="4" w:val="single"/>
              <w:right w:color="000000" w:space="0" w:sz="4" w:val="single"/>
            </w:tcBorders>
            <w:vAlign w:val="center"/>
          </w:tcPr>
          <w:p w:rsidR="00000000" w:rsidDel="00000000" w:rsidP="00000000" w:rsidRDefault="00000000" w:rsidRPr="00000000" w14:paraId="000000A0">
            <w:pPr>
              <w:spacing w:line="276" w:lineRule="auto"/>
              <w:ind w:left="60" w:right="60" w:firstLine="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4.5.</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A1">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Προγράμματα εκπαίδευσης ή ευαισθητοποίησης για την ψυχική υγεία στα σχολεία</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0A2">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71</w:t>
            </w:r>
          </w:p>
        </w:tc>
      </w:tr>
      <w:tr>
        <w:trPr>
          <w:cantSplit w:val="0"/>
          <w:tblHeader w:val="0"/>
        </w:trPr>
        <w:tc>
          <w:tcPr>
            <w:tcBorders>
              <w:top w:color="000000" w:space="0" w:sz="4" w:val="single"/>
              <w:left w:color="000000" w:space="0" w:sz="0" w:val="nil"/>
              <w:bottom w:color="000000" w:space="0" w:sz="4" w:val="single"/>
              <w:right w:color="000000" w:space="0" w:sz="4" w:val="single"/>
            </w:tcBorders>
            <w:vAlign w:val="center"/>
          </w:tcPr>
          <w:p w:rsidR="00000000" w:rsidDel="00000000" w:rsidP="00000000" w:rsidRDefault="00000000" w:rsidRPr="00000000" w14:paraId="000000A3">
            <w:pPr>
              <w:spacing w:line="276"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4.6.</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A4">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Εθνικά προγράμματα για το γραμματισμό του γενικού πληθυσμού σε θέματα ψυχικής υγείας/ψυχικής ασθένειας</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0A5">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72</w:t>
            </w:r>
          </w:p>
        </w:tc>
      </w:tr>
      <w:tr>
        <w:trPr>
          <w:cantSplit w:val="0"/>
          <w:tblHeader w:val="0"/>
        </w:trPr>
        <w:tc>
          <w:tcPr>
            <w:tcBorders>
              <w:top w:color="000000" w:space="0" w:sz="4" w:val="single"/>
              <w:left w:color="000000" w:space="0" w:sz="0" w:val="nil"/>
              <w:bottom w:color="000000" w:space="0" w:sz="4" w:val="single"/>
              <w:right w:color="000000" w:space="0" w:sz="4" w:val="single"/>
            </w:tcBorders>
            <w:vAlign w:val="center"/>
          </w:tcPr>
          <w:p w:rsidR="00000000" w:rsidDel="00000000" w:rsidP="00000000" w:rsidRDefault="00000000" w:rsidRPr="00000000" w14:paraId="000000A6">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4.7.</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A7">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Δράσεις κατά του στίγματος της ψυχικής ασθένειας</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0A8">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77</w:t>
            </w:r>
          </w:p>
        </w:tc>
      </w:tr>
      <w:tr>
        <w:trPr>
          <w:cantSplit w:val="0"/>
          <w:tblHeader w:val="0"/>
        </w:trPr>
        <w:tc>
          <w:tcPr>
            <w:tcBorders>
              <w:top w:color="000000" w:space="0" w:sz="4" w:val="single"/>
              <w:left w:color="000000" w:space="0" w:sz="0" w:val="nil"/>
              <w:bottom w:color="000000" w:space="0" w:sz="0" w:val="nil"/>
              <w:right w:color="000000" w:space="0" w:sz="4" w:val="single"/>
            </w:tcBorders>
            <w:vAlign w:val="center"/>
          </w:tcPr>
          <w:p w:rsidR="00000000" w:rsidDel="00000000" w:rsidP="00000000" w:rsidRDefault="00000000" w:rsidRPr="00000000" w14:paraId="000000A9">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4.8.</w:t>
            </w:r>
            <w:r w:rsidDel="00000000" w:rsidR="00000000" w:rsidRPr="00000000">
              <w:rPr>
                <w:rtl w:val="0"/>
              </w:rPr>
            </w:r>
          </w:p>
        </w:tc>
        <w:tc>
          <w:tcPr>
            <w:tcBorders>
              <w:top w:color="000000" w:space="0" w:sz="4" w:val="single"/>
              <w:left w:color="000000" w:space="0" w:sz="4" w:val="single"/>
              <w:bottom w:color="000000" w:space="0" w:sz="0" w:val="nil"/>
              <w:right w:color="000000" w:space="0" w:sz="4" w:val="single"/>
            </w:tcBorders>
            <w:vAlign w:val="center"/>
          </w:tcPr>
          <w:p w:rsidR="00000000" w:rsidDel="00000000" w:rsidP="00000000" w:rsidRDefault="00000000" w:rsidRPr="00000000" w14:paraId="000000AA">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Εθνικές ή περιφερειακές στρατηγικές για τα μοντέλα παροχής υπηρεσιών, το σχεδιασμό και την ισορροπία</w:t>
            </w:r>
          </w:p>
        </w:tc>
        <w:tc>
          <w:tcPr>
            <w:tcBorders>
              <w:top w:color="000000" w:space="0" w:sz="4" w:val="single"/>
              <w:left w:color="000000" w:space="0" w:sz="4" w:val="single"/>
              <w:bottom w:color="000000" w:space="0" w:sz="0" w:val="nil"/>
              <w:right w:color="000000" w:space="0" w:sz="0" w:val="nil"/>
            </w:tcBorders>
          </w:tcPr>
          <w:p w:rsidR="00000000" w:rsidDel="00000000" w:rsidP="00000000" w:rsidRDefault="00000000" w:rsidRPr="00000000" w14:paraId="000000AB">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83</w:t>
            </w:r>
          </w:p>
        </w:tc>
      </w:tr>
    </w:tbl>
    <w:p w:rsidR="00000000" w:rsidDel="00000000" w:rsidP="00000000" w:rsidRDefault="00000000" w:rsidRPr="00000000" w14:paraId="000000AC">
      <w:pPr>
        <w:rPr/>
      </w:pPr>
      <w:r w:rsidDel="00000000" w:rsidR="00000000" w:rsidRPr="00000000">
        <w:rPr>
          <w:rtl w:val="0"/>
        </w:rPr>
      </w:r>
    </w:p>
    <w:p w:rsidR="00000000" w:rsidDel="00000000" w:rsidP="00000000" w:rsidRDefault="00000000" w:rsidRPr="00000000" w14:paraId="000000AD">
      <w:pPr>
        <w:rPr/>
      </w:pPr>
      <w:r w:rsidDel="00000000" w:rsidR="00000000" w:rsidRPr="00000000">
        <w:rPr>
          <w:rtl w:val="0"/>
        </w:rPr>
      </w:r>
    </w:p>
    <w:p w:rsidR="00000000" w:rsidDel="00000000" w:rsidP="00000000" w:rsidRDefault="00000000" w:rsidRPr="00000000" w14:paraId="000000AE">
      <w:pPr>
        <w:rPr/>
      </w:pPr>
      <w:r w:rsidDel="00000000" w:rsidR="00000000" w:rsidRPr="00000000">
        <w:rPr>
          <w:rtl w:val="0"/>
        </w:rPr>
      </w:r>
    </w:p>
    <w:p w:rsidR="00000000" w:rsidDel="00000000" w:rsidP="00000000" w:rsidRDefault="00000000" w:rsidRPr="00000000" w14:paraId="000000AF">
      <w:pPr>
        <w:rPr/>
      </w:pPr>
      <w:r w:rsidDel="00000000" w:rsidR="00000000" w:rsidRPr="00000000">
        <w:rPr>
          <w:rtl w:val="0"/>
        </w:rPr>
      </w:r>
    </w:p>
    <w:p w:rsidR="00000000" w:rsidDel="00000000" w:rsidP="00000000" w:rsidRDefault="00000000" w:rsidRPr="00000000" w14:paraId="000000B0">
      <w:pPr>
        <w:rPr/>
      </w:pPr>
      <w:r w:rsidDel="00000000" w:rsidR="00000000" w:rsidRPr="00000000">
        <w:rPr>
          <w:rtl w:val="0"/>
        </w:rPr>
      </w:r>
    </w:p>
    <w:p w:rsidR="00000000" w:rsidDel="00000000" w:rsidP="00000000" w:rsidRDefault="00000000" w:rsidRPr="00000000" w14:paraId="000000B1">
      <w:pPr>
        <w:rPr/>
      </w:pPr>
      <w:r w:rsidDel="00000000" w:rsidR="00000000" w:rsidRPr="00000000">
        <w:rPr>
          <w:rtl w:val="0"/>
        </w:rPr>
      </w:r>
    </w:p>
    <w:p w:rsidR="00000000" w:rsidDel="00000000" w:rsidP="00000000" w:rsidRDefault="00000000" w:rsidRPr="00000000" w14:paraId="000000B2">
      <w:pPr>
        <w:rPr/>
      </w:pPr>
      <w:r w:rsidDel="00000000" w:rsidR="00000000" w:rsidRPr="00000000">
        <w:rPr>
          <w:rtl w:val="0"/>
        </w:rPr>
      </w:r>
    </w:p>
    <w:p w:rsidR="00000000" w:rsidDel="00000000" w:rsidP="00000000" w:rsidRDefault="00000000" w:rsidRPr="00000000" w14:paraId="000000B3">
      <w:pPr>
        <w:rPr/>
      </w:pPr>
      <w:r w:rsidDel="00000000" w:rsidR="00000000" w:rsidRPr="00000000">
        <w:rPr>
          <w:rtl w:val="0"/>
        </w:rPr>
      </w:r>
    </w:p>
    <w:p w:rsidR="00000000" w:rsidDel="00000000" w:rsidP="00000000" w:rsidRDefault="00000000" w:rsidRPr="00000000" w14:paraId="000000B4">
      <w:pPr>
        <w:rPr/>
      </w:pPr>
      <w:r w:rsidDel="00000000" w:rsidR="00000000" w:rsidRPr="00000000">
        <w:rPr>
          <w:rtl w:val="0"/>
        </w:rPr>
      </w:r>
    </w:p>
    <w:p w:rsidR="00000000" w:rsidDel="00000000" w:rsidP="00000000" w:rsidRDefault="00000000" w:rsidRPr="00000000" w14:paraId="000000B5">
      <w:pPr>
        <w:rPr/>
      </w:pPr>
      <w:r w:rsidDel="00000000" w:rsidR="00000000" w:rsidRPr="00000000">
        <w:rPr>
          <w:rtl w:val="0"/>
        </w:rPr>
      </w:r>
    </w:p>
    <w:p w:rsidR="00000000" w:rsidDel="00000000" w:rsidP="00000000" w:rsidRDefault="00000000" w:rsidRPr="00000000" w14:paraId="000000B6">
      <w:pPr>
        <w:rPr/>
      </w:pPr>
      <w:r w:rsidDel="00000000" w:rsidR="00000000" w:rsidRPr="00000000">
        <w:rPr>
          <w:rtl w:val="0"/>
        </w:rPr>
      </w:r>
    </w:p>
    <w:p w:rsidR="00000000" w:rsidDel="00000000" w:rsidP="00000000" w:rsidRDefault="00000000" w:rsidRPr="00000000" w14:paraId="000000B7">
      <w:pPr>
        <w:rPr/>
      </w:pPr>
      <w:r w:rsidDel="00000000" w:rsidR="00000000" w:rsidRPr="00000000">
        <w:rPr>
          <w:rtl w:val="0"/>
        </w:rPr>
      </w:r>
    </w:p>
    <w:p w:rsidR="00000000" w:rsidDel="00000000" w:rsidP="00000000" w:rsidRDefault="00000000" w:rsidRPr="00000000" w14:paraId="000000B8">
      <w:pPr>
        <w:rPr/>
      </w:pPr>
      <w:r w:rsidDel="00000000" w:rsidR="00000000" w:rsidRPr="00000000">
        <w:rPr>
          <w:rtl w:val="0"/>
        </w:rPr>
      </w:r>
    </w:p>
    <w:p w:rsidR="00000000" w:rsidDel="00000000" w:rsidP="00000000" w:rsidRDefault="00000000" w:rsidRPr="00000000" w14:paraId="000000B9">
      <w:pPr>
        <w:rPr/>
      </w:pPr>
      <w:r w:rsidDel="00000000" w:rsidR="00000000" w:rsidRPr="00000000">
        <w:rPr>
          <w:rtl w:val="0"/>
        </w:rPr>
      </w:r>
    </w:p>
    <w:p w:rsidR="00000000" w:rsidDel="00000000" w:rsidP="00000000" w:rsidRDefault="00000000" w:rsidRPr="00000000" w14:paraId="000000BA">
      <w:pPr>
        <w:pStyle w:val="Heading1"/>
        <w:jc w:val="center"/>
        <w:rPr>
          <w:rFonts w:ascii="Times New Roman" w:cs="Times New Roman" w:eastAsia="Times New Roman" w:hAnsi="Times New Roman"/>
          <w:color w:val="000000"/>
        </w:rPr>
      </w:pPr>
      <w:bookmarkStart w:colFirst="0" w:colLast="0" w:name="_heading=h.1fob9te" w:id="2"/>
      <w:bookmarkEnd w:id="2"/>
      <w:r w:rsidDel="00000000" w:rsidR="00000000" w:rsidRPr="00000000">
        <w:rPr>
          <w:rFonts w:ascii="Times New Roman" w:cs="Times New Roman" w:eastAsia="Times New Roman" w:hAnsi="Times New Roman"/>
          <w:color w:val="000000"/>
          <w:rtl w:val="0"/>
        </w:rPr>
        <w:t xml:space="preserve">ΚΑΤΑΛΟΓΟΣ ΣΧΗΜΑΤΩΝ &amp; ΕΙΚΟΝΩΝ</w:t>
      </w:r>
    </w:p>
    <w:tbl>
      <w:tblPr>
        <w:tblStyle w:val="Table2"/>
        <w:tblW w:w="7586.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909"/>
        <w:gridCol w:w="4760"/>
        <w:gridCol w:w="917"/>
        <w:tblGridChange w:id="0">
          <w:tblGrid>
            <w:gridCol w:w="1909"/>
            <w:gridCol w:w="4760"/>
            <w:gridCol w:w="917"/>
          </w:tblGrid>
        </w:tblGridChange>
      </w:tblGrid>
      <w:tr>
        <w:trPr>
          <w:cantSplit w:val="0"/>
          <w:tblHeader w:val="0"/>
        </w:trPr>
        <w:tc>
          <w:tcPr>
            <w:tcBorders>
              <w:bottom w:color="000000" w:space="0" w:sz="4" w:val="single"/>
            </w:tcBorders>
          </w:tcPr>
          <w:p w:rsidR="00000000" w:rsidDel="00000000" w:rsidP="00000000" w:rsidRDefault="00000000" w:rsidRPr="00000000" w14:paraId="000000BB">
            <w:pPr>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Σχήμα</w:t>
            </w:r>
          </w:p>
        </w:tc>
        <w:tc>
          <w:tcPr>
            <w:tcBorders>
              <w:bottom w:color="000000" w:space="0" w:sz="4" w:val="single"/>
            </w:tcBorders>
          </w:tcPr>
          <w:p w:rsidR="00000000" w:rsidDel="00000000" w:rsidP="00000000" w:rsidRDefault="00000000" w:rsidRPr="00000000" w14:paraId="000000BC">
            <w:pPr>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Τίτλος</w:t>
            </w:r>
          </w:p>
        </w:tc>
        <w:tc>
          <w:tcPr>
            <w:tcBorders>
              <w:bottom w:color="000000" w:space="0" w:sz="4" w:val="single"/>
            </w:tcBorders>
          </w:tcPr>
          <w:p w:rsidR="00000000" w:rsidDel="00000000" w:rsidP="00000000" w:rsidRDefault="00000000" w:rsidRPr="00000000" w14:paraId="000000BD">
            <w:pPr>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Σελίδα</w:t>
            </w:r>
          </w:p>
        </w:tc>
      </w:tr>
      <w:tr>
        <w:trPr>
          <w:cantSplit w:val="0"/>
          <w:tblHeader w:val="0"/>
        </w:trPr>
        <w:tc>
          <w:tcPr>
            <w:tcBorders>
              <w:top w:color="000000" w:space="0" w:sz="4" w:val="single"/>
              <w:left w:color="000000" w:space="0" w:sz="0" w:val="nil"/>
              <w:bottom w:color="000000" w:space="0" w:sz="4" w:val="single"/>
              <w:right w:color="000000" w:space="0" w:sz="4" w:val="single"/>
            </w:tcBorders>
            <w:vAlign w:val="center"/>
          </w:tcPr>
          <w:p w:rsidR="00000000" w:rsidDel="00000000" w:rsidP="00000000" w:rsidRDefault="00000000" w:rsidRPr="00000000" w14:paraId="000000BE">
            <w:pPr>
              <w:jc w:val="left"/>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Εικόνα 4.1.</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BF">
            <w:pPr>
              <w:rPr>
                <w:rFonts w:ascii="Times New Roman" w:cs="Times New Roman" w:eastAsia="Times New Roman" w:hAnsi="Times New Roman"/>
              </w:rPr>
            </w:pPr>
            <w:bookmarkStart w:colFirst="0" w:colLast="0" w:name="_heading=h.3znysh7" w:id="3"/>
            <w:bookmarkEnd w:id="3"/>
            <w:r w:rsidDel="00000000" w:rsidR="00000000" w:rsidRPr="00000000">
              <w:rPr>
                <w:rFonts w:ascii="Times New Roman" w:cs="Times New Roman" w:eastAsia="Times New Roman" w:hAnsi="Times New Roman"/>
                <w:rtl w:val="0"/>
              </w:rPr>
              <w:t xml:space="preserve">Απαιτούμενη συμμετοχή του λήπτη των υπηρεσιών ή του εκπροσώπου του στο σχέδιο υγειονομικής περίθαλψης</w:t>
            </w:r>
          </w:p>
        </w:tc>
        <w:tc>
          <w:tcPr>
            <w:tcBorders>
              <w:top w:color="000000" w:space="0" w:sz="4" w:val="single"/>
              <w:left w:color="000000" w:space="0" w:sz="4" w:val="single"/>
              <w:bottom w:color="000000" w:space="0" w:sz="4" w:val="single"/>
              <w:right w:color="000000" w:space="0" w:sz="0" w:val="nil"/>
            </w:tcBorders>
            <w:vAlign w:val="center"/>
          </w:tcPr>
          <w:p w:rsidR="00000000" w:rsidDel="00000000" w:rsidP="00000000" w:rsidRDefault="00000000" w:rsidRPr="00000000" w14:paraId="000000C0">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39</w:t>
            </w:r>
          </w:p>
        </w:tc>
      </w:tr>
      <w:tr>
        <w:trPr>
          <w:cantSplit w:val="0"/>
          <w:tblHeader w:val="0"/>
        </w:trPr>
        <w:tc>
          <w:tcPr>
            <w:tcBorders>
              <w:top w:color="000000" w:space="0" w:sz="4" w:val="single"/>
              <w:left w:color="000000" w:space="0" w:sz="0" w:val="nil"/>
              <w:bottom w:color="000000" w:space="0" w:sz="4" w:val="single"/>
              <w:right w:color="000000" w:space="0" w:sz="4" w:val="single"/>
            </w:tcBorders>
            <w:vAlign w:val="center"/>
          </w:tcPr>
          <w:p w:rsidR="00000000" w:rsidDel="00000000" w:rsidP="00000000" w:rsidRDefault="00000000" w:rsidRPr="00000000" w14:paraId="000000C1">
            <w:pPr>
              <w:jc w:val="left"/>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Εικόνα 4.2.</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C2">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Ημέρες που μπορεί κάποιο άτομο να κρατηθεί ακούσια χωρίς έλεγχο από δικαστή</w:t>
            </w:r>
          </w:p>
        </w:tc>
        <w:tc>
          <w:tcPr>
            <w:tcBorders>
              <w:top w:color="000000" w:space="0" w:sz="4" w:val="single"/>
              <w:left w:color="000000" w:space="0" w:sz="4" w:val="single"/>
              <w:bottom w:color="000000" w:space="0" w:sz="4" w:val="single"/>
              <w:right w:color="000000" w:space="0" w:sz="0" w:val="nil"/>
            </w:tcBorders>
            <w:vAlign w:val="center"/>
          </w:tcPr>
          <w:p w:rsidR="00000000" w:rsidDel="00000000" w:rsidP="00000000" w:rsidRDefault="00000000" w:rsidRPr="00000000" w14:paraId="000000C3">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41</w:t>
            </w:r>
          </w:p>
        </w:tc>
      </w:tr>
      <w:tr>
        <w:trPr>
          <w:cantSplit w:val="0"/>
          <w:tblHeader w:val="0"/>
        </w:trPr>
        <w:tc>
          <w:tcPr>
            <w:tcBorders>
              <w:top w:color="000000" w:space="0" w:sz="4" w:val="single"/>
              <w:left w:color="000000" w:space="0" w:sz="0" w:val="nil"/>
              <w:bottom w:color="000000" w:space="0" w:sz="4" w:val="single"/>
              <w:right w:color="000000" w:space="0" w:sz="4" w:val="single"/>
            </w:tcBorders>
            <w:vAlign w:val="center"/>
          </w:tcPr>
          <w:p w:rsidR="00000000" w:rsidDel="00000000" w:rsidP="00000000" w:rsidRDefault="00000000" w:rsidRPr="00000000" w14:paraId="000000C4">
            <w:pPr>
              <w:jc w:val="left"/>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Εικόνα 4.3.</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C5">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Σχέδια ψυχικής υγείας ή στρατηγικές για εθνικά καθορισμένες ομάδες πληθυσμού προτεραιότητας</w:t>
            </w:r>
          </w:p>
        </w:tc>
        <w:tc>
          <w:tcPr>
            <w:tcBorders>
              <w:top w:color="000000" w:space="0" w:sz="4" w:val="single"/>
              <w:left w:color="000000" w:space="0" w:sz="4" w:val="single"/>
              <w:bottom w:color="000000" w:space="0" w:sz="4" w:val="single"/>
              <w:right w:color="000000" w:space="0" w:sz="0" w:val="nil"/>
            </w:tcBorders>
            <w:vAlign w:val="center"/>
          </w:tcPr>
          <w:p w:rsidR="00000000" w:rsidDel="00000000" w:rsidP="00000000" w:rsidRDefault="00000000" w:rsidRPr="00000000" w14:paraId="000000C6">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42</w:t>
            </w:r>
          </w:p>
        </w:tc>
      </w:tr>
      <w:tr>
        <w:trPr>
          <w:cantSplit w:val="0"/>
          <w:tblHeader w:val="0"/>
        </w:trPr>
        <w:tc>
          <w:tcPr>
            <w:tcBorders>
              <w:top w:color="000000" w:space="0" w:sz="4" w:val="single"/>
              <w:left w:color="000000" w:space="0" w:sz="0" w:val="nil"/>
              <w:bottom w:color="000000" w:space="0" w:sz="4" w:val="single"/>
              <w:right w:color="000000" w:space="0" w:sz="4" w:val="single"/>
            </w:tcBorders>
            <w:vAlign w:val="center"/>
          </w:tcPr>
          <w:p w:rsidR="00000000" w:rsidDel="00000000" w:rsidP="00000000" w:rsidRDefault="00000000" w:rsidRPr="00000000" w14:paraId="000000C7">
            <w:pPr>
              <w:jc w:val="left"/>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Γράφημα 4.1.</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C8">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Ποσοστό ατόμων με ανεκπλήρωτες ανάγκες ψυχικής υγείας εξαιτίας οικονομικών λόγων, αναμονής ή αδυναμίας μεταφοράς (για το έτος 2016 ή πιο πρόσφατα)</w:t>
            </w:r>
          </w:p>
        </w:tc>
        <w:tc>
          <w:tcPr>
            <w:tcBorders>
              <w:top w:color="000000" w:space="0" w:sz="4" w:val="single"/>
              <w:left w:color="000000" w:space="0" w:sz="4" w:val="single"/>
              <w:bottom w:color="000000" w:space="0" w:sz="4" w:val="single"/>
              <w:right w:color="000000" w:space="0" w:sz="0" w:val="nil"/>
            </w:tcBorders>
            <w:vAlign w:val="center"/>
          </w:tcPr>
          <w:p w:rsidR="00000000" w:rsidDel="00000000" w:rsidP="00000000" w:rsidRDefault="00000000" w:rsidRPr="00000000" w14:paraId="000000C9">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45</w:t>
            </w:r>
          </w:p>
        </w:tc>
      </w:tr>
      <w:tr>
        <w:trPr>
          <w:cantSplit w:val="0"/>
          <w:tblHeader w:val="0"/>
        </w:trPr>
        <w:tc>
          <w:tcPr>
            <w:tcBorders>
              <w:top w:color="000000" w:space="0" w:sz="4" w:val="single"/>
              <w:left w:color="000000" w:space="0" w:sz="0" w:val="nil"/>
              <w:bottom w:color="000000" w:space="0" w:sz="4" w:val="single"/>
              <w:right w:color="000000" w:space="0" w:sz="4" w:val="single"/>
            </w:tcBorders>
            <w:vAlign w:val="center"/>
          </w:tcPr>
          <w:p w:rsidR="00000000" w:rsidDel="00000000" w:rsidP="00000000" w:rsidRDefault="00000000" w:rsidRPr="00000000" w14:paraId="000000CA">
            <w:pPr>
              <w:jc w:val="left"/>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Εικόνα 4.4.</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CB">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Υπηρεσίες ψυχικής υγείας που καλύπτονται πλήρως ή εν μέρει από βασική υγειονομική κάλυψη</w:t>
            </w:r>
          </w:p>
        </w:tc>
        <w:tc>
          <w:tcPr>
            <w:tcBorders>
              <w:top w:color="000000" w:space="0" w:sz="4" w:val="single"/>
              <w:left w:color="000000" w:space="0" w:sz="4" w:val="single"/>
              <w:bottom w:color="000000" w:space="0" w:sz="4" w:val="single"/>
              <w:right w:color="000000" w:space="0" w:sz="0" w:val="nil"/>
            </w:tcBorders>
            <w:vAlign w:val="center"/>
          </w:tcPr>
          <w:p w:rsidR="00000000" w:rsidDel="00000000" w:rsidP="00000000" w:rsidRDefault="00000000" w:rsidRPr="00000000" w14:paraId="000000CC">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46</w:t>
            </w:r>
          </w:p>
        </w:tc>
      </w:tr>
      <w:tr>
        <w:trPr>
          <w:cantSplit w:val="0"/>
          <w:tblHeader w:val="0"/>
        </w:trPr>
        <w:tc>
          <w:tcPr>
            <w:tcBorders>
              <w:top w:color="000000" w:space="0" w:sz="4" w:val="single"/>
              <w:left w:color="000000" w:space="0" w:sz="0" w:val="nil"/>
              <w:bottom w:color="000000" w:space="0" w:sz="4" w:val="single"/>
              <w:right w:color="000000" w:space="0" w:sz="4" w:val="single"/>
            </w:tcBorders>
            <w:vAlign w:val="center"/>
          </w:tcPr>
          <w:p w:rsidR="00000000" w:rsidDel="00000000" w:rsidP="00000000" w:rsidRDefault="00000000" w:rsidRPr="00000000" w14:paraId="000000CD">
            <w:pPr>
              <w:jc w:val="left"/>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Γράφημα 4.2.</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CE">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Άμεση πρόσβαση σε υπηρεσίες ψυχικής υγείας, χωρίς παραπομπή</w:t>
            </w:r>
          </w:p>
        </w:tc>
        <w:tc>
          <w:tcPr>
            <w:tcBorders>
              <w:top w:color="000000" w:space="0" w:sz="4" w:val="single"/>
              <w:left w:color="000000" w:space="0" w:sz="4" w:val="single"/>
              <w:bottom w:color="000000" w:space="0" w:sz="4" w:val="single"/>
              <w:right w:color="000000" w:space="0" w:sz="0" w:val="nil"/>
            </w:tcBorders>
            <w:vAlign w:val="center"/>
          </w:tcPr>
          <w:p w:rsidR="00000000" w:rsidDel="00000000" w:rsidP="00000000" w:rsidRDefault="00000000" w:rsidRPr="00000000" w14:paraId="000000CF">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49</w:t>
            </w:r>
          </w:p>
        </w:tc>
      </w:tr>
      <w:tr>
        <w:trPr>
          <w:cantSplit w:val="0"/>
          <w:tblHeader w:val="0"/>
        </w:trPr>
        <w:tc>
          <w:tcPr>
            <w:tcBorders>
              <w:top w:color="000000" w:space="0" w:sz="4" w:val="single"/>
              <w:left w:color="000000" w:space="0" w:sz="0" w:val="nil"/>
              <w:bottom w:color="000000" w:space="0" w:sz="4" w:val="single"/>
              <w:right w:color="000000" w:space="0" w:sz="4" w:val="single"/>
            </w:tcBorders>
            <w:vAlign w:val="center"/>
          </w:tcPr>
          <w:p w:rsidR="00000000" w:rsidDel="00000000" w:rsidP="00000000" w:rsidRDefault="00000000" w:rsidRPr="00000000" w14:paraId="000000D0">
            <w:pPr>
              <w:jc w:val="left"/>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Γράφημα 4.3.</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D1">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Ψυχιατρικές κλίνες ανά 1.000 άτομα</w:t>
            </w:r>
          </w:p>
        </w:tc>
        <w:tc>
          <w:tcPr>
            <w:tcBorders>
              <w:top w:color="000000" w:space="0" w:sz="4" w:val="single"/>
              <w:left w:color="000000" w:space="0" w:sz="4" w:val="single"/>
              <w:bottom w:color="000000" w:space="0" w:sz="4" w:val="single"/>
              <w:right w:color="000000" w:space="0" w:sz="0" w:val="nil"/>
            </w:tcBorders>
            <w:vAlign w:val="center"/>
          </w:tcPr>
          <w:p w:rsidR="00000000" w:rsidDel="00000000" w:rsidP="00000000" w:rsidRDefault="00000000" w:rsidRPr="00000000" w14:paraId="000000D2">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52</w:t>
            </w:r>
          </w:p>
        </w:tc>
      </w:tr>
      <w:tr>
        <w:trPr>
          <w:cantSplit w:val="0"/>
          <w:tblHeader w:val="0"/>
        </w:trPr>
        <w:tc>
          <w:tcPr>
            <w:tcBorders>
              <w:top w:color="000000" w:space="0" w:sz="4" w:val="single"/>
              <w:left w:color="000000" w:space="0" w:sz="0" w:val="nil"/>
              <w:bottom w:color="000000" w:space="0" w:sz="4" w:val="single"/>
              <w:right w:color="000000" w:space="0" w:sz="4" w:val="single"/>
            </w:tcBorders>
            <w:vAlign w:val="center"/>
          </w:tcPr>
          <w:p w:rsidR="00000000" w:rsidDel="00000000" w:rsidP="00000000" w:rsidRDefault="00000000" w:rsidRPr="00000000" w14:paraId="000000D3">
            <w:pPr>
              <w:jc w:val="left"/>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Γράφημα 4.4.</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D4">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Ενδονοσοκομειακές εισαγωγές ανάμεσα στις χώρες του ΟΟΣΑ για το έτος 2019 ή πιο πρόσφατα (ανά 1.000 άτομα)</w:t>
            </w:r>
          </w:p>
        </w:tc>
        <w:tc>
          <w:tcPr>
            <w:tcBorders>
              <w:top w:color="000000" w:space="0" w:sz="4" w:val="single"/>
              <w:left w:color="000000" w:space="0" w:sz="4" w:val="single"/>
              <w:bottom w:color="000000" w:space="0" w:sz="4" w:val="single"/>
              <w:right w:color="000000" w:space="0" w:sz="0" w:val="nil"/>
            </w:tcBorders>
            <w:vAlign w:val="center"/>
          </w:tcPr>
          <w:p w:rsidR="00000000" w:rsidDel="00000000" w:rsidP="00000000" w:rsidRDefault="00000000" w:rsidRPr="00000000" w14:paraId="000000D5">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53</w:t>
            </w:r>
          </w:p>
        </w:tc>
      </w:tr>
      <w:tr>
        <w:trPr>
          <w:cantSplit w:val="0"/>
          <w:tblHeader w:val="0"/>
        </w:trPr>
        <w:tc>
          <w:tcPr>
            <w:tcBorders>
              <w:top w:color="000000" w:space="0" w:sz="4" w:val="single"/>
              <w:left w:color="000000" w:space="0" w:sz="0" w:val="nil"/>
              <w:bottom w:color="000000" w:space="0" w:sz="4" w:val="single"/>
              <w:right w:color="000000" w:space="0" w:sz="4" w:val="single"/>
            </w:tcBorders>
            <w:vAlign w:val="center"/>
          </w:tcPr>
          <w:p w:rsidR="00000000" w:rsidDel="00000000" w:rsidP="00000000" w:rsidRDefault="00000000" w:rsidRPr="00000000" w14:paraId="000000D6">
            <w:pPr>
              <w:jc w:val="left"/>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Γράφημα 4.5.</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D7">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Μέσος χρόνος ενδονοσοκομειακής νοσηλείας για ψυχικές διαταραχές και διαταραχές συμπεριφοράς (2018 ή πιο πρόσφατα, σε ημέρες)</w:t>
            </w:r>
          </w:p>
        </w:tc>
        <w:tc>
          <w:tcPr>
            <w:tcBorders>
              <w:top w:color="000000" w:space="0" w:sz="4" w:val="single"/>
              <w:left w:color="000000" w:space="0" w:sz="4" w:val="single"/>
              <w:bottom w:color="000000" w:space="0" w:sz="4" w:val="single"/>
              <w:right w:color="000000" w:space="0" w:sz="0" w:val="nil"/>
            </w:tcBorders>
            <w:vAlign w:val="center"/>
          </w:tcPr>
          <w:p w:rsidR="00000000" w:rsidDel="00000000" w:rsidP="00000000" w:rsidRDefault="00000000" w:rsidRPr="00000000" w14:paraId="000000D8">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55</w:t>
            </w:r>
          </w:p>
        </w:tc>
      </w:tr>
      <w:tr>
        <w:trPr>
          <w:cantSplit w:val="0"/>
          <w:tblHeader w:val="0"/>
        </w:trPr>
        <w:tc>
          <w:tcPr>
            <w:tcBorders>
              <w:top w:color="000000" w:space="0" w:sz="4" w:val="single"/>
              <w:left w:color="000000" w:space="0" w:sz="0" w:val="nil"/>
              <w:bottom w:color="000000" w:space="0" w:sz="4" w:val="single"/>
              <w:right w:color="000000" w:space="0" w:sz="4" w:val="single"/>
            </w:tcBorders>
            <w:vAlign w:val="center"/>
          </w:tcPr>
          <w:p w:rsidR="00000000" w:rsidDel="00000000" w:rsidP="00000000" w:rsidRDefault="00000000" w:rsidRPr="00000000" w14:paraId="000000D9">
            <w:pPr>
              <w:jc w:val="left"/>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Γράφημα 4.6.</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DA">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Άτομα που παρακολουθούνται σε εξωνοσοκομειακές μονάδες/ιατρεία ψυχικής υγείας (2018 ή πιο πρόσφατα στοιχεία, ανά 1.000 άτομα)</w:t>
            </w:r>
          </w:p>
        </w:tc>
        <w:tc>
          <w:tcPr>
            <w:tcBorders>
              <w:top w:color="000000" w:space="0" w:sz="4" w:val="single"/>
              <w:left w:color="000000" w:space="0" w:sz="4" w:val="single"/>
              <w:bottom w:color="000000" w:space="0" w:sz="4" w:val="single"/>
              <w:right w:color="000000" w:space="0" w:sz="0" w:val="nil"/>
            </w:tcBorders>
            <w:vAlign w:val="center"/>
          </w:tcPr>
          <w:p w:rsidR="00000000" w:rsidDel="00000000" w:rsidP="00000000" w:rsidRDefault="00000000" w:rsidRPr="00000000" w14:paraId="000000DB">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56</w:t>
            </w:r>
          </w:p>
        </w:tc>
      </w:tr>
      <w:tr>
        <w:trPr>
          <w:cantSplit w:val="0"/>
          <w:tblHeader w:val="0"/>
        </w:trPr>
        <w:tc>
          <w:tcPr>
            <w:tcBorders>
              <w:top w:color="000000" w:space="0" w:sz="4" w:val="single"/>
              <w:left w:color="000000" w:space="0" w:sz="0" w:val="nil"/>
              <w:bottom w:color="000000" w:space="0" w:sz="4" w:val="single"/>
              <w:right w:color="000000" w:space="0" w:sz="4" w:val="single"/>
            </w:tcBorders>
            <w:vAlign w:val="center"/>
          </w:tcPr>
          <w:p w:rsidR="00000000" w:rsidDel="00000000" w:rsidP="00000000" w:rsidRDefault="00000000" w:rsidRPr="00000000" w14:paraId="000000DC">
            <w:pPr>
              <w:jc w:val="left"/>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Εικόνα 4.5.</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DD">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Θεραπείες ομιλίας από παρόχους πρωτοβάθμιας φροντίδας για το έτος 2020</w:t>
            </w:r>
          </w:p>
        </w:tc>
        <w:tc>
          <w:tcPr>
            <w:tcBorders>
              <w:top w:color="000000" w:space="0" w:sz="4" w:val="single"/>
              <w:left w:color="000000" w:space="0" w:sz="4" w:val="single"/>
              <w:bottom w:color="000000" w:space="0" w:sz="4" w:val="single"/>
              <w:right w:color="000000" w:space="0" w:sz="0" w:val="nil"/>
            </w:tcBorders>
            <w:vAlign w:val="center"/>
          </w:tcPr>
          <w:p w:rsidR="00000000" w:rsidDel="00000000" w:rsidP="00000000" w:rsidRDefault="00000000" w:rsidRPr="00000000" w14:paraId="000000DE">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58</w:t>
            </w:r>
          </w:p>
        </w:tc>
      </w:tr>
      <w:tr>
        <w:trPr>
          <w:cantSplit w:val="0"/>
          <w:tblHeader w:val="0"/>
        </w:trPr>
        <w:tc>
          <w:tcPr>
            <w:tcBorders>
              <w:top w:color="000000" w:space="0" w:sz="4" w:val="single"/>
              <w:left w:color="000000" w:space="0" w:sz="0" w:val="nil"/>
              <w:bottom w:color="000000" w:space="0" w:sz="4" w:val="single"/>
              <w:right w:color="000000" w:space="0" w:sz="4" w:val="single"/>
            </w:tcBorders>
            <w:vAlign w:val="center"/>
          </w:tcPr>
          <w:p w:rsidR="00000000" w:rsidDel="00000000" w:rsidP="00000000" w:rsidRDefault="00000000" w:rsidRPr="00000000" w14:paraId="000000DF">
            <w:pPr>
              <w:jc w:val="left"/>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Γράφημα 4.7</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E0">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Χάσμα απασχόλησης μεταξύ των ατόμων με και χωρίς πρόβλημα ψυχικής υγείας (έτη 2012-2016)</w:t>
            </w:r>
          </w:p>
        </w:tc>
        <w:tc>
          <w:tcPr>
            <w:tcBorders>
              <w:top w:color="000000" w:space="0" w:sz="4" w:val="single"/>
              <w:left w:color="000000" w:space="0" w:sz="4" w:val="single"/>
              <w:bottom w:color="000000" w:space="0" w:sz="4" w:val="single"/>
              <w:right w:color="000000" w:space="0" w:sz="0" w:val="nil"/>
            </w:tcBorders>
            <w:vAlign w:val="center"/>
          </w:tcPr>
          <w:p w:rsidR="00000000" w:rsidDel="00000000" w:rsidP="00000000" w:rsidRDefault="00000000" w:rsidRPr="00000000" w14:paraId="000000E1">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66</w:t>
            </w:r>
          </w:p>
        </w:tc>
      </w:tr>
      <w:tr>
        <w:trPr>
          <w:cantSplit w:val="0"/>
          <w:tblHeader w:val="0"/>
        </w:trPr>
        <w:tc>
          <w:tcPr>
            <w:tcBorders>
              <w:top w:color="000000" w:space="0" w:sz="4" w:val="single"/>
              <w:left w:color="000000" w:space="0" w:sz="0" w:val="nil"/>
              <w:bottom w:color="000000" w:space="0" w:sz="4" w:val="single"/>
              <w:right w:color="000000" w:space="0" w:sz="4" w:val="single"/>
            </w:tcBorders>
            <w:vAlign w:val="center"/>
          </w:tcPr>
          <w:p w:rsidR="00000000" w:rsidDel="00000000" w:rsidP="00000000" w:rsidRDefault="00000000" w:rsidRPr="00000000" w14:paraId="000000E2">
            <w:pPr>
              <w:jc w:val="left"/>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Γράφημα 4.8.</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E3">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Ολοκλήρωση υψηλότερου εκπαιδευτικού επιπέδου (έτη 2012-2016)</w:t>
            </w:r>
          </w:p>
        </w:tc>
        <w:tc>
          <w:tcPr>
            <w:tcBorders>
              <w:top w:color="000000" w:space="0" w:sz="4" w:val="single"/>
              <w:left w:color="000000" w:space="0" w:sz="4" w:val="single"/>
              <w:bottom w:color="000000" w:space="0" w:sz="4" w:val="single"/>
              <w:right w:color="000000" w:space="0" w:sz="0" w:val="nil"/>
            </w:tcBorders>
            <w:vAlign w:val="center"/>
          </w:tcPr>
          <w:p w:rsidR="00000000" w:rsidDel="00000000" w:rsidP="00000000" w:rsidRDefault="00000000" w:rsidRPr="00000000" w14:paraId="000000E4">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67</w:t>
            </w:r>
          </w:p>
        </w:tc>
      </w:tr>
      <w:tr>
        <w:trPr>
          <w:cantSplit w:val="0"/>
          <w:tblHeader w:val="0"/>
        </w:trPr>
        <w:tc>
          <w:tcPr>
            <w:tcBorders>
              <w:top w:color="000000" w:space="0" w:sz="4" w:val="single"/>
              <w:left w:color="000000" w:space="0" w:sz="0" w:val="nil"/>
              <w:bottom w:color="000000" w:space="0" w:sz="4" w:val="single"/>
              <w:right w:color="000000" w:space="0" w:sz="4" w:val="single"/>
            </w:tcBorders>
            <w:vAlign w:val="center"/>
          </w:tcPr>
          <w:p w:rsidR="00000000" w:rsidDel="00000000" w:rsidP="00000000" w:rsidRDefault="00000000" w:rsidRPr="00000000" w14:paraId="000000E5">
            <w:pPr>
              <w:jc w:val="left"/>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Γράφημα 4.9.</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E6">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Θάνατοι από αυτοκτονία (2018 ή πιο πρόσφατα)</w:t>
            </w:r>
          </w:p>
        </w:tc>
        <w:tc>
          <w:tcPr>
            <w:tcBorders>
              <w:top w:color="000000" w:space="0" w:sz="4" w:val="single"/>
              <w:left w:color="000000" w:space="0" w:sz="4" w:val="single"/>
              <w:bottom w:color="000000" w:space="0" w:sz="4" w:val="single"/>
              <w:right w:color="000000" w:space="0" w:sz="0" w:val="nil"/>
            </w:tcBorders>
            <w:vAlign w:val="center"/>
          </w:tcPr>
          <w:p w:rsidR="00000000" w:rsidDel="00000000" w:rsidP="00000000" w:rsidRDefault="00000000" w:rsidRPr="00000000" w14:paraId="000000E7">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74</w:t>
            </w:r>
          </w:p>
        </w:tc>
      </w:tr>
      <w:tr>
        <w:trPr>
          <w:cantSplit w:val="0"/>
          <w:tblHeader w:val="0"/>
        </w:trPr>
        <w:tc>
          <w:tcPr>
            <w:tcBorders>
              <w:top w:color="000000" w:space="0" w:sz="4" w:val="single"/>
              <w:left w:color="000000" w:space="0" w:sz="0" w:val="nil"/>
              <w:bottom w:color="000000" w:space="0" w:sz="4" w:val="single"/>
              <w:right w:color="000000" w:space="0" w:sz="4" w:val="single"/>
            </w:tcBorders>
            <w:vAlign w:val="center"/>
          </w:tcPr>
          <w:p w:rsidR="00000000" w:rsidDel="00000000" w:rsidP="00000000" w:rsidRDefault="00000000" w:rsidRPr="00000000" w14:paraId="000000E8">
            <w:pPr>
              <w:jc w:val="left"/>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Γράφημα 4.10.</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E9">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Εκτιμώμενο άμεσο και έμμεσο κόστος που σχετίζεται με προβλήματα ψυχικής υγείας σε όλες τις ευρωπαϊκές χώρες (ως ποσοστό του ΑΕΠ, για το έτος 2015 ή αργότερα)</w:t>
            </w:r>
          </w:p>
        </w:tc>
        <w:tc>
          <w:tcPr>
            <w:tcBorders>
              <w:top w:color="000000" w:space="0" w:sz="4" w:val="single"/>
              <w:left w:color="000000" w:space="0" w:sz="4" w:val="single"/>
              <w:bottom w:color="000000" w:space="0" w:sz="4" w:val="single"/>
              <w:right w:color="000000" w:space="0" w:sz="0" w:val="nil"/>
            </w:tcBorders>
            <w:vAlign w:val="center"/>
          </w:tcPr>
          <w:p w:rsidR="00000000" w:rsidDel="00000000" w:rsidP="00000000" w:rsidRDefault="00000000" w:rsidRPr="00000000" w14:paraId="000000EA">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80</w:t>
            </w:r>
          </w:p>
        </w:tc>
      </w:tr>
      <w:tr>
        <w:trPr>
          <w:cantSplit w:val="0"/>
          <w:tblHeader w:val="0"/>
        </w:trPr>
        <w:tc>
          <w:tcPr>
            <w:tcBorders>
              <w:top w:color="000000" w:space="0" w:sz="4" w:val="single"/>
              <w:left w:color="000000" w:space="0" w:sz="0" w:val="nil"/>
              <w:bottom w:color="000000" w:space="0" w:sz="4" w:val="single"/>
              <w:right w:color="000000" w:space="0" w:sz="4" w:val="single"/>
            </w:tcBorders>
            <w:vAlign w:val="center"/>
          </w:tcPr>
          <w:p w:rsidR="00000000" w:rsidDel="00000000" w:rsidP="00000000" w:rsidRDefault="00000000" w:rsidRPr="00000000" w14:paraId="000000EB">
            <w:pPr>
              <w:jc w:val="left"/>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Γράφημα 4.11.</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EC">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Εκτιμώμενες δαπάνες για την ψυχική υγεία ως ποσοστό των συνολικών κρατικών δαπανών για την υγεία (2018 ή πιο πρόσφατα)</w:t>
            </w:r>
          </w:p>
        </w:tc>
        <w:tc>
          <w:tcPr>
            <w:tcBorders>
              <w:top w:color="000000" w:space="0" w:sz="4" w:val="single"/>
              <w:left w:color="000000" w:space="0" w:sz="4" w:val="single"/>
              <w:bottom w:color="000000" w:space="0" w:sz="4" w:val="single"/>
              <w:right w:color="000000" w:space="0" w:sz="0" w:val="nil"/>
            </w:tcBorders>
            <w:vAlign w:val="center"/>
          </w:tcPr>
          <w:p w:rsidR="00000000" w:rsidDel="00000000" w:rsidP="00000000" w:rsidRDefault="00000000" w:rsidRPr="00000000" w14:paraId="000000ED">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82</w:t>
            </w:r>
          </w:p>
        </w:tc>
      </w:tr>
      <w:tr>
        <w:trPr>
          <w:cantSplit w:val="0"/>
          <w:tblHeader w:val="0"/>
        </w:trPr>
        <w:tc>
          <w:tcPr>
            <w:tcBorders>
              <w:top w:color="000000" w:space="0" w:sz="4" w:val="single"/>
              <w:left w:color="000000" w:space="0" w:sz="0" w:val="nil"/>
              <w:bottom w:color="000000" w:space="0" w:sz="4" w:val="single"/>
              <w:right w:color="000000" w:space="0" w:sz="4" w:val="single"/>
            </w:tcBorders>
            <w:vAlign w:val="center"/>
          </w:tcPr>
          <w:p w:rsidR="00000000" w:rsidDel="00000000" w:rsidP="00000000" w:rsidRDefault="00000000" w:rsidRPr="00000000" w14:paraId="000000EE">
            <w:pPr>
              <w:jc w:val="left"/>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Γράφημα 4.12.</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EF">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Ψυχίατροι ανά 1.000 άτομα, για τα έτη 2009-2019</w:t>
            </w:r>
          </w:p>
        </w:tc>
        <w:tc>
          <w:tcPr>
            <w:tcBorders>
              <w:top w:color="000000" w:space="0" w:sz="4" w:val="single"/>
              <w:left w:color="000000" w:space="0" w:sz="4" w:val="single"/>
              <w:bottom w:color="000000" w:space="0" w:sz="4" w:val="single"/>
              <w:right w:color="000000" w:space="0" w:sz="0" w:val="nil"/>
            </w:tcBorders>
            <w:vAlign w:val="center"/>
          </w:tcPr>
          <w:p w:rsidR="00000000" w:rsidDel="00000000" w:rsidP="00000000" w:rsidRDefault="00000000" w:rsidRPr="00000000" w14:paraId="000000F0">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86</w:t>
            </w:r>
          </w:p>
        </w:tc>
      </w:tr>
      <w:tr>
        <w:trPr>
          <w:cantSplit w:val="0"/>
          <w:trHeight w:val="70" w:hRule="atLeast"/>
          <w:tblHeader w:val="0"/>
        </w:trPr>
        <w:tc>
          <w:tcPr>
            <w:tcBorders>
              <w:top w:color="000000" w:space="0" w:sz="4" w:val="single"/>
              <w:left w:color="000000" w:space="0" w:sz="0" w:val="nil"/>
              <w:bottom w:color="000000" w:space="0" w:sz="0" w:val="nil"/>
              <w:right w:color="000000" w:space="0" w:sz="4" w:val="single"/>
            </w:tcBorders>
            <w:vAlign w:val="center"/>
          </w:tcPr>
          <w:p w:rsidR="00000000" w:rsidDel="00000000" w:rsidP="00000000" w:rsidRDefault="00000000" w:rsidRPr="00000000" w14:paraId="000000F1">
            <w:pPr>
              <w:jc w:val="left"/>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Γράφημα 4.13.</w:t>
            </w:r>
            <w:r w:rsidDel="00000000" w:rsidR="00000000" w:rsidRPr="00000000">
              <w:rPr>
                <w:rtl w:val="0"/>
              </w:rPr>
            </w:r>
          </w:p>
        </w:tc>
        <w:tc>
          <w:tcPr>
            <w:tcBorders>
              <w:top w:color="000000" w:space="0" w:sz="4" w:val="single"/>
              <w:left w:color="000000" w:space="0" w:sz="4" w:val="single"/>
              <w:bottom w:color="000000" w:space="0" w:sz="0" w:val="nil"/>
              <w:right w:color="000000" w:space="0" w:sz="4" w:val="single"/>
            </w:tcBorders>
            <w:vAlign w:val="center"/>
          </w:tcPr>
          <w:p w:rsidR="00000000" w:rsidDel="00000000" w:rsidP="00000000" w:rsidRDefault="00000000" w:rsidRPr="00000000" w14:paraId="000000F2">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Ψυχολόγοι και ψυχιατρικές νοσηλεύτριες ανά 1.000 άτομα (2018 ή πιο πρόσφατα)</w:t>
            </w:r>
          </w:p>
        </w:tc>
        <w:tc>
          <w:tcPr>
            <w:tcBorders>
              <w:top w:color="000000" w:space="0" w:sz="4" w:val="single"/>
              <w:left w:color="000000" w:space="0" w:sz="4" w:val="single"/>
              <w:bottom w:color="000000" w:space="0" w:sz="0" w:val="nil"/>
              <w:right w:color="000000" w:space="0" w:sz="0" w:val="nil"/>
            </w:tcBorders>
            <w:vAlign w:val="center"/>
          </w:tcPr>
          <w:p w:rsidR="00000000" w:rsidDel="00000000" w:rsidP="00000000" w:rsidRDefault="00000000" w:rsidRPr="00000000" w14:paraId="000000F3">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88</w:t>
            </w:r>
          </w:p>
        </w:tc>
      </w:tr>
    </w:tbl>
    <w:p w:rsidR="00000000" w:rsidDel="00000000" w:rsidP="00000000" w:rsidRDefault="00000000" w:rsidRPr="00000000" w14:paraId="000000F4">
      <w:pPr>
        <w:rPr/>
      </w:pPr>
      <w:r w:rsidDel="00000000" w:rsidR="00000000" w:rsidRPr="00000000">
        <w:rPr>
          <w:rtl w:val="0"/>
        </w:rPr>
      </w:r>
    </w:p>
    <w:p w:rsidR="00000000" w:rsidDel="00000000" w:rsidP="00000000" w:rsidRDefault="00000000" w:rsidRPr="00000000" w14:paraId="000000F5">
      <w:pPr>
        <w:pStyle w:val="Heading1"/>
        <w:spacing w:before="0" w:lineRule="auto"/>
        <w:jc w:val="center"/>
        <w:rPr>
          <w:rFonts w:ascii="Times New Roman" w:cs="Times New Roman" w:eastAsia="Times New Roman" w:hAnsi="Times New Roman"/>
          <w:color w:val="000000"/>
        </w:rPr>
      </w:pPr>
      <w:bookmarkStart w:colFirst="0" w:colLast="0" w:name="_heading=h.2et92p0" w:id="4"/>
      <w:bookmarkEnd w:id="4"/>
      <w:r w:rsidDel="00000000" w:rsidR="00000000" w:rsidRPr="00000000">
        <w:rPr>
          <w:rFonts w:ascii="Times New Roman" w:cs="Times New Roman" w:eastAsia="Times New Roman" w:hAnsi="Times New Roman"/>
          <w:color w:val="000000"/>
          <w:rtl w:val="0"/>
        </w:rPr>
        <w:t xml:space="preserve">ΚΑΤΑΛΟΓΟΣ ΣΥΝΤΟΜΟΓΡΑΦΙΩΝ</w:t>
      </w:r>
    </w:p>
    <w:tbl>
      <w:tblPr>
        <w:tblStyle w:val="Table3"/>
        <w:tblW w:w="7586.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101"/>
        <w:gridCol w:w="6485"/>
        <w:tblGridChange w:id="0">
          <w:tblGrid>
            <w:gridCol w:w="1101"/>
            <w:gridCol w:w="6485"/>
          </w:tblGrid>
        </w:tblGridChange>
      </w:tblGrid>
      <w:tr>
        <w:trPr>
          <w:cantSplit w:val="0"/>
          <w:tblHeader w:val="0"/>
        </w:trPr>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0F6">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ΟΟΣΑ</w:t>
            </w:r>
          </w:p>
        </w:tc>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0F7">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Οργανισμός Οικονομικής Συνεργασίας και Ανάπτυξης</w:t>
            </w:r>
          </w:p>
        </w:tc>
      </w:tr>
      <w:tr>
        <w:trPr>
          <w:cantSplit w:val="0"/>
          <w:tblHeader w:val="0"/>
        </w:trPr>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0F8">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OECD </w:t>
            </w:r>
          </w:p>
        </w:tc>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0F9">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Organisation for Economic Cooperation and Development</w:t>
            </w:r>
          </w:p>
        </w:tc>
      </w:tr>
      <w:tr>
        <w:trPr>
          <w:cantSplit w:val="0"/>
          <w:tblHeader w:val="0"/>
        </w:trPr>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0FA">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ΠΟΥ</w:t>
            </w:r>
          </w:p>
        </w:tc>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0FB">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Παγκόσμιος Οργανισμός Υγείας</w:t>
            </w:r>
          </w:p>
        </w:tc>
      </w:tr>
      <w:tr>
        <w:trPr>
          <w:cantSplit w:val="0"/>
          <w:tblHeader w:val="0"/>
        </w:trPr>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0FC">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WHO</w:t>
            </w:r>
          </w:p>
        </w:tc>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0FD">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World Health Organization</w:t>
            </w:r>
            <w:r w:rsidDel="00000000" w:rsidR="00000000" w:rsidRPr="00000000">
              <w:rPr>
                <w:rtl w:val="0"/>
              </w:rPr>
            </w:r>
          </w:p>
        </w:tc>
      </w:tr>
      <w:tr>
        <w:trPr>
          <w:cantSplit w:val="0"/>
          <w:tblHeader w:val="0"/>
        </w:trPr>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0FE">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Ε.Ε.</w:t>
            </w:r>
          </w:p>
        </w:tc>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0FF">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Ευρωπαϊκή Ένωση </w:t>
            </w:r>
          </w:p>
        </w:tc>
      </w:tr>
      <w:tr>
        <w:trPr>
          <w:cantSplit w:val="0"/>
          <w:tblHeader w:val="0"/>
        </w:trPr>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100">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E.U</w:t>
            </w:r>
          </w:p>
        </w:tc>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101">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European Union</w:t>
            </w:r>
          </w:p>
        </w:tc>
      </w:tr>
    </w:tbl>
    <w:p w:rsidR="00000000" w:rsidDel="00000000" w:rsidP="00000000" w:rsidRDefault="00000000" w:rsidRPr="00000000" w14:paraId="00000102">
      <w:pPr>
        <w:rPr/>
      </w:pPr>
      <w:r w:rsidDel="00000000" w:rsidR="00000000" w:rsidRPr="00000000">
        <w:rPr>
          <w:rtl w:val="0"/>
        </w:rPr>
      </w:r>
    </w:p>
    <w:p w:rsidR="00000000" w:rsidDel="00000000" w:rsidP="00000000" w:rsidRDefault="00000000" w:rsidRPr="00000000" w14:paraId="00000103">
      <w:pPr>
        <w:rPr/>
      </w:pPr>
      <w:r w:rsidDel="00000000" w:rsidR="00000000" w:rsidRPr="00000000">
        <w:rPr>
          <w:rtl w:val="0"/>
        </w:rPr>
      </w:r>
    </w:p>
    <w:p w:rsidR="00000000" w:rsidDel="00000000" w:rsidP="00000000" w:rsidRDefault="00000000" w:rsidRPr="00000000" w14:paraId="00000104">
      <w:pPr>
        <w:rPr/>
      </w:pPr>
      <w:r w:rsidDel="00000000" w:rsidR="00000000" w:rsidRPr="00000000">
        <w:rPr>
          <w:rtl w:val="0"/>
        </w:rPr>
      </w:r>
    </w:p>
    <w:p w:rsidR="00000000" w:rsidDel="00000000" w:rsidP="00000000" w:rsidRDefault="00000000" w:rsidRPr="00000000" w14:paraId="00000105">
      <w:pPr>
        <w:rPr/>
      </w:pPr>
      <w:r w:rsidDel="00000000" w:rsidR="00000000" w:rsidRPr="00000000">
        <w:rPr>
          <w:rtl w:val="0"/>
        </w:rPr>
      </w:r>
    </w:p>
    <w:p w:rsidR="00000000" w:rsidDel="00000000" w:rsidP="00000000" w:rsidRDefault="00000000" w:rsidRPr="00000000" w14:paraId="00000106">
      <w:pPr>
        <w:rPr/>
      </w:pPr>
      <w:r w:rsidDel="00000000" w:rsidR="00000000" w:rsidRPr="00000000">
        <w:rPr>
          <w:rtl w:val="0"/>
        </w:rPr>
      </w:r>
    </w:p>
    <w:p w:rsidR="00000000" w:rsidDel="00000000" w:rsidP="00000000" w:rsidRDefault="00000000" w:rsidRPr="00000000" w14:paraId="00000107">
      <w:pPr>
        <w:rPr/>
      </w:pPr>
      <w:r w:rsidDel="00000000" w:rsidR="00000000" w:rsidRPr="00000000">
        <w:rPr>
          <w:rtl w:val="0"/>
        </w:rPr>
      </w:r>
    </w:p>
    <w:p w:rsidR="00000000" w:rsidDel="00000000" w:rsidP="00000000" w:rsidRDefault="00000000" w:rsidRPr="00000000" w14:paraId="00000108">
      <w:pPr>
        <w:rPr/>
      </w:pPr>
      <w:r w:rsidDel="00000000" w:rsidR="00000000" w:rsidRPr="00000000">
        <w:rPr>
          <w:rtl w:val="0"/>
        </w:rPr>
      </w:r>
    </w:p>
    <w:p w:rsidR="00000000" w:rsidDel="00000000" w:rsidP="00000000" w:rsidRDefault="00000000" w:rsidRPr="00000000" w14:paraId="00000109">
      <w:pPr>
        <w:rPr/>
      </w:pPr>
      <w:r w:rsidDel="00000000" w:rsidR="00000000" w:rsidRPr="00000000">
        <w:rPr>
          <w:rtl w:val="0"/>
        </w:rPr>
      </w:r>
    </w:p>
    <w:p w:rsidR="00000000" w:rsidDel="00000000" w:rsidP="00000000" w:rsidRDefault="00000000" w:rsidRPr="00000000" w14:paraId="0000010A">
      <w:pPr>
        <w:rPr/>
      </w:pPr>
      <w:r w:rsidDel="00000000" w:rsidR="00000000" w:rsidRPr="00000000">
        <w:rPr>
          <w:rtl w:val="0"/>
        </w:rPr>
      </w:r>
    </w:p>
    <w:p w:rsidR="00000000" w:rsidDel="00000000" w:rsidP="00000000" w:rsidRDefault="00000000" w:rsidRPr="00000000" w14:paraId="0000010B">
      <w:pPr>
        <w:rPr/>
      </w:pPr>
      <w:r w:rsidDel="00000000" w:rsidR="00000000" w:rsidRPr="00000000">
        <w:rPr>
          <w:rtl w:val="0"/>
        </w:rPr>
      </w:r>
    </w:p>
    <w:p w:rsidR="00000000" w:rsidDel="00000000" w:rsidP="00000000" w:rsidRDefault="00000000" w:rsidRPr="00000000" w14:paraId="0000010C">
      <w:pPr>
        <w:rPr/>
      </w:pPr>
      <w:r w:rsidDel="00000000" w:rsidR="00000000" w:rsidRPr="00000000">
        <w:rPr>
          <w:rtl w:val="0"/>
        </w:rPr>
      </w:r>
    </w:p>
    <w:p w:rsidR="00000000" w:rsidDel="00000000" w:rsidP="00000000" w:rsidRDefault="00000000" w:rsidRPr="00000000" w14:paraId="0000010D">
      <w:pPr>
        <w:rPr/>
      </w:pPr>
      <w:r w:rsidDel="00000000" w:rsidR="00000000" w:rsidRPr="00000000">
        <w:rPr>
          <w:rtl w:val="0"/>
        </w:rPr>
      </w:r>
    </w:p>
    <w:p w:rsidR="00000000" w:rsidDel="00000000" w:rsidP="00000000" w:rsidRDefault="00000000" w:rsidRPr="00000000" w14:paraId="0000010E">
      <w:pPr>
        <w:rPr/>
      </w:pPr>
      <w:r w:rsidDel="00000000" w:rsidR="00000000" w:rsidRPr="00000000">
        <w:rPr>
          <w:rtl w:val="0"/>
        </w:rPr>
      </w:r>
    </w:p>
    <w:p w:rsidR="00000000" w:rsidDel="00000000" w:rsidP="00000000" w:rsidRDefault="00000000" w:rsidRPr="00000000" w14:paraId="0000010F">
      <w:pPr>
        <w:rPr/>
      </w:pPr>
      <w:r w:rsidDel="00000000" w:rsidR="00000000" w:rsidRPr="00000000">
        <w:rPr>
          <w:rtl w:val="0"/>
        </w:rPr>
      </w:r>
    </w:p>
    <w:p w:rsidR="00000000" w:rsidDel="00000000" w:rsidP="00000000" w:rsidRDefault="00000000" w:rsidRPr="00000000" w14:paraId="00000110">
      <w:pPr>
        <w:rPr/>
      </w:pPr>
      <w:r w:rsidDel="00000000" w:rsidR="00000000" w:rsidRPr="00000000">
        <w:rPr>
          <w:rtl w:val="0"/>
        </w:rPr>
      </w:r>
    </w:p>
    <w:p w:rsidR="00000000" w:rsidDel="00000000" w:rsidP="00000000" w:rsidRDefault="00000000" w:rsidRPr="00000000" w14:paraId="00000111">
      <w:pPr>
        <w:rPr/>
      </w:pPr>
      <w:r w:rsidDel="00000000" w:rsidR="00000000" w:rsidRPr="00000000">
        <w:rPr>
          <w:rtl w:val="0"/>
        </w:rPr>
      </w:r>
    </w:p>
    <w:p w:rsidR="00000000" w:rsidDel="00000000" w:rsidP="00000000" w:rsidRDefault="00000000" w:rsidRPr="00000000" w14:paraId="00000112">
      <w:pPr>
        <w:rPr/>
      </w:pPr>
      <w:r w:rsidDel="00000000" w:rsidR="00000000" w:rsidRPr="00000000">
        <w:rPr>
          <w:rtl w:val="0"/>
        </w:rPr>
      </w:r>
    </w:p>
    <w:p w:rsidR="00000000" w:rsidDel="00000000" w:rsidP="00000000" w:rsidRDefault="00000000" w:rsidRPr="00000000" w14:paraId="00000113">
      <w:pPr>
        <w:rPr/>
      </w:pPr>
      <w:r w:rsidDel="00000000" w:rsidR="00000000" w:rsidRPr="00000000">
        <w:rPr>
          <w:rtl w:val="0"/>
        </w:rPr>
      </w:r>
    </w:p>
    <w:p w:rsidR="00000000" w:rsidDel="00000000" w:rsidP="00000000" w:rsidRDefault="00000000" w:rsidRPr="00000000" w14:paraId="00000114">
      <w:pPr>
        <w:rPr/>
      </w:pPr>
      <w:r w:rsidDel="00000000" w:rsidR="00000000" w:rsidRPr="00000000">
        <w:rPr>
          <w:rtl w:val="0"/>
        </w:rPr>
      </w:r>
    </w:p>
    <w:p w:rsidR="00000000" w:rsidDel="00000000" w:rsidP="00000000" w:rsidRDefault="00000000" w:rsidRPr="00000000" w14:paraId="00000115">
      <w:pPr>
        <w:rPr/>
      </w:pPr>
      <w:r w:rsidDel="00000000" w:rsidR="00000000" w:rsidRPr="00000000">
        <w:rPr>
          <w:rtl w:val="0"/>
        </w:rPr>
      </w:r>
    </w:p>
    <w:p w:rsidR="00000000" w:rsidDel="00000000" w:rsidP="00000000" w:rsidRDefault="00000000" w:rsidRPr="00000000" w14:paraId="00000116">
      <w:pPr>
        <w:rPr/>
      </w:pPr>
      <w:r w:rsidDel="00000000" w:rsidR="00000000" w:rsidRPr="00000000">
        <w:rPr>
          <w:rtl w:val="0"/>
        </w:rPr>
      </w:r>
    </w:p>
    <w:p w:rsidR="00000000" w:rsidDel="00000000" w:rsidP="00000000" w:rsidRDefault="00000000" w:rsidRPr="00000000" w14:paraId="00000117">
      <w:pPr>
        <w:rPr/>
      </w:pPr>
      <w:r w:rsidDel="00000000" w:rsidR="00000000" w:rsidRPr="00000000">
        <w:rPr>
          <w:rtl w:val="0"/>
        </w:rPr>
      </w:r>
    </w:p>
    <w:p w:rsidR="00000000" w:rsidDel="00000000" w:rsidP="00000000" w:rsidRDefault="00000000" w:rsidRPr="00000000" w14:paraId="00000118">
      <w:pPr>
        <w:pStyle w:val="Heading1"/>
        <w:jc w:val="center"/>
        <w:rPr>
          <w:rFonts w:ascii="Times New Roman" w:cs="Times New Roman" w:eastAsia="Times New Roman" w:hAnsi="Times New Roman"/>
          <w:color w:val="000000"/>
        </w:rPr>
      </w:pPr>
      <w:bookmarkStart w:colFirst="0" w:colLast="0" w:name="_heading=h.tyjcwt" w:id="5"/>
      <w:bookmarkEnd w:id="5"/>
      <w:r w:rsidDel="00000000" w:rsidR="00000000" w:rsidRPr="00000000">
        <w:rPr>
          <w:rFonts w:ascii="Times New Roman" w:cs="Times New Roman" w:eastAsia="Times New Roman" w:hAnsi="Times New Roman"/>
          <w:color w:val="000000"/>
          <w:rtl w:val="0"/>
        </w:rPr>
        <w:t xml:space="preserve">ΠΕΡΙΛΗΨΗ</w:t>
      </w:r>
    </w:p>
    <w:p w:rsidR="00000000" w:rsidDel="00000000" w:rsidP="00000000" w:rsidRDefault="00000000" w:rsidRPr="00000000" w14:paraId="00000119">
      <w:pPr>
        <w:spacing w:after="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Σκοπός της παρούσας εργασίας ήταν αρχικά η ανασκόπηση των κοινωνικών και οικονομικών επιπτώσεων του συστήματος ψυχικής υγείας στην οικονομία και στη συνέχεια, η συγκριτική αξιολόγηση των συστημάτων ψυχικής υγείας σε διάφορες χώρες, συμπεριλαμβανομένης και της Ελλάδος. Για τη σύγκριση των συστημάτων ψυχικής υγείας, χρησιμοποιήθηκαν ως σημείο αναφοράς συγκεκριμένοι δείκτες που έχουν προταθεί από τον Οργανισμό Οικονομικής Συνεργασίας και Ανάπτυξης. Οι δείκτες αυτοί, περιλαμβάνουν την: α)  προσωποκεντρική προσέγγιση του συστήματος ψυχικής υγείας, β) προσβασιμότητα του συστήματος ψυχικής υγείας, γ) ολοκληρωμένη και  πολυτομεακή προσέγγιση για την ψυχική υγεία δ) πρόληψη των ψυχικών ασθενειών και την προώθηση της ψυχικής ευεξίας και ε) τις δαπάνες, τους πόρους, τις πολιτικές και τη χρηστή διακυβέρνηση. Τα δεδομένα που χρησιμοποιήθηκαν στην παρούσα έρευνα ήταν δευτερογενή και προήλθαν κατά κύριο λόγο από έρευνες και στατιστικά δεδομένα διεθνών οργανισμών, όπως είναι ο ΟΟΣΑ και η Ευρωπαϊκή Ένωση. Το σύστημα υγείας της Ελλάδος, παρουσιάζει σημαντικές διαφοροποιήσεις σε διάφορους δείκτες, σε σύγκριση με το μέσο όρο των χωρών του ΟΟΣΑ και της Ευρωπαϊκής Ένωσης. Γίνεται συζήτηση των ευρημάτων και πραγματοποιούνται συγκεκριμένες προτάσεις. </w:t>
      </w:r>
    </w:p>
    <w:p w:rsidR="00000000" w:rsidDel="00000000" w:rsidP="00000000" w:rsidRDefault="00000000" w:rsidRPr="00000000" w14:paraId="0000011A">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Λέξεις-κλειδιά: </w:t>
      </w:r>
      <w:r w:rsidDel="00000000" w:rsidR="00000000" w:rsidRPr="00000000">
        <w:rPr>
          <w:rFonts w:ascii="Times New Roman" w:cs="Times New Roman" w:eastAsia="Times New Roman" w:hAnsi="Times New Roman"/>
          <w:i w:val="1"/>
          <w:sz w:val="24"/>
          <w:szCs w:val="24"/>
          <w:rtl w:val="0"/>
        </w:rPr>
        <w:t xml:space="preserve">ψυχική υγεία, σύστημα ψυχικής υγείας, σύγκριση, αξιολόγηση.</w:t>
      </w:r>
      <w:r w:rsidDel="00000000" w:rsidR="00000000" w:rsidRPr="00000000">
        <w:rPr>
          <w:rtl w:val="0"/>
        </w:rPr>
      </w:r>
    </w:p>
    <w:p w:rsidR="00000000" w:rsidDel="00000000" w:rsidP="00000000" w:rsidRDefault="00000000" w:rsidRPr="00000000" w14:paraId="0000011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0">
      <w:pPr>
        <w:pStyle w:val="Heading1"/>
        <w:jc w:val="center"/>
        <w:rPr>
          <w:rFonts w:ascii="Times New Roman" w:cs="Times New Roman" w:eastAsia="Times New Roman" w:hAnsi="Times New Roman"/>
          <w:color w:val="000000"/>
        </w:rPr>
      </w:pPr>
      <w:bookmarkStart w:colFirst="0" w:colLast="0" w:name="_heading=h.3dy6vkm" w:id="6"/>
      <w:bookmarkEnd w:id="6"/>
      <w:r w:rsidDel="00000000" w:rsidR="00000000" w:rsidRPr="00000000">
        <w:rPr>
          <w:rFonts w:ascii="Times New Roman" w:cs="Times New Roman" w:eastAsia="Times New Roman" w:hAnsi="Times New Roman"/>
          <w:color w:val="000000"/>
          <w:rtl w:val="0"/>
        </w:rPr>
        <w:t xml:space="preserve">ABSTRACT</w:t>
      </w:r>
    </w:p>
    <w:p w:rsidR="00000000" w:rsidDel="00000000" w:rsidP="00000000" w:rsidRDefault="00000000" w:rsidRPr="00000000" w14:paraId="00000121">
      <w:pPr>
        <w:spacing w:after="12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purpose of this study, was initially to review the social and economic impact of the mental health systems on the economy and then the benchmarking of mental health systems in various countries, including Greece. For the comparison of mental health systems, specific indicators proposed by the Organization for Economic Cooperation and Development were used as a reference point. These indicators included: a) the person-centered approach to the mental health systems, b) the accessibility of the mental health systems, c) the integrated and multidisciplinary approach to mental health d) the prevention of mental illness and the promotion of mental well-being and the e) expenditure, resources, policies and good governance</w:t>
      </w:r>
      <w:r w:rsidDel="00000000" w:rsidR="00000000" w:rsidRPr="00000000">
        <w:rPr>
          <w:rtl w:val="0"/>
        </w:rPr>
        <w:t xml:space="preserve"> </w:t>
      </w:r>
      <w:r w:rsidDel="00000000" w:rsidR="00000000" w:rsidRPr="00000000">
        <w:rPr>
          <w:rFonts w:ascii="Times New Roman" w:cs="Times New Roman" w:eastAsia="Times New Roman" w:hAnsi="Times New Roman"/>
          <w:sz w:val="24"/>
          <w:szCs w:val="24"/>
          <w:rtl w:val="0"/>
        </w:rPr>
        <w:t xml:space="preserve">of the mental health systems. The data used in the present study were secondary and came mainly from surveys and statistical data of international organizations, such as the OECD and the European Union. The health system of Greece presents significant differences in various indicators, compared to the average of the OECD and European Union countries. The findings are discussed and specific suggestions are made.</w:t>
      </w:r>
    </w:p>
    <w:p w:rsidR="00000000" w:rsidDel="00000000" w:rsidP="00000000" w:rsidRDefault="00000000" w:rsidRPr="00000000" w14:paraId="00000122">
      <w:pP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b w:val="1"/>
          <w:sz w:val="24"/>
          <w:szCs w:val="24"/>
          <w:rtl w:val="0"/>
        </w:rPr>
        <w:t xml:space="preserve">Keywords:</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mental health, mental health systems, comparison, evaluation.</w:t>
      </w:r>
    </w:p>
    <w:p w:rsidR="00000000" w:rsidDel="00000000" w:rsidP="00000000" w:rsidRDefault="00000000" w:rsidRPr="00000000" w14:paraId="000001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2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2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2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2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2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3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3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33">
      <w:pPr>
        <w:pStyle w:val="Heading1"/>
        <w:spacing w:before="0" w:lineRule="auto"/>
        <w:jc w:val="center"/>
        <w:rPr>
          <w:rFonts w:ascii="Times New Roman" w:cs="Times New Roman" w:eastAsia="Times New Roman" w:hAnsi="Times New Roman"/>
          <w:color w:val="000000"/>
        </w:rPr>
      </w:pPr>
      <w:bookmarkStart w:colFirst="0" w:colLast="0" w:name="_heading=h.1t3h5sf" w:id="7"/>
      <w:bookmarkEnd w:id="7"/>
      <w:r w:rsidDel="00000000" w:rsidR="00000000" w:rsidRPr="00000000">
        <w:rPr>
          <w:rFonts w:ascii="Times New Roman" w:cs="Times New Roman" w:eastAsia="Times New Roman" w:hAnsi="Times New Roman"/>
          <w:color w:val="000000"/>
          <w:rtl w:val="0"/>
        </w:rPr>
        <w:t xml:space="preserve">ΜΕΡΟΣ Ι</w:t>
      </w:r>
    </w:p>
    <w:p w:rsidR="00000000" w:rsidDel="00000000" w:rsidP="00000000" w:rsidRDefault="00000000" w:rsidRPr="00000000" w14:paraId="00000134">
      <w:pPr>
        <w:pStyle w:val="Heading2"/>
        <w:rPr>
          <w:rFonts w:ascii="Times New Roman" w:cs="Times New Roman" w:eastAsia="Times New Roman" w:hAnsi="Times New Roman"/>
          <w:b w:val="1"/>
          <w:color w:val="000000"/>
          <w:sz w:val="28"/>
          <w:szCs w:val="28"/>
        </w:rPr>
      </w:pPr>
      <w:bookmarkStart w:colFirst="0" w:colLast="0" w:name="_heading=h.4d34og8" w:id="8"/>
      <w:bookmarkEnd w:id="8"/>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b w:val="1"/>
          <w:color w:val="000000"/>
          <w:sz w:val="28"/>
          <w:szCs w:val="28"/>
          <w:rtl w:val="0"/>
        </w:rPr>
        <w:t xml:space="preserve">ΕΙΣΑΓΩΓΗ</w:t>
      </w:r>
    </w:p>
    <w:p w:rsidR="00000000" w:rsidDel="00000000" w:rsidP="00000000" w:rsidRDefault="00000000" w:rsidRPr="00000000" w14:paraId="00000135">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Η καλή ψυχική υγεία, είναι απαραίτητη για να μπορούν να ζουν οι άνθρωποι υγιείς και να έχουν παραγωγικές ζωές, ενώ ταυτόχρονα αποτελεί τον ακρογωνιαίο λίθο της κοινωνίας και της οικονομίας. Οι ψυχικές διαταραχές και οι διαταραχές χρήσης ουσιών, αποτελούν πλέον την κύρια αιτία αναπηρίας παγκοσμίως (Whiteford, Degenhardt, Rehm et al., 2013). Αυτή η τεκμηριωμένη παγκόσμια επιβάρυνση που προκαλείται από τις ψυχικές διαταραχές, επιδεινώνεται από το  διευρυνόμενο χάσμα θεραπείας για την ψυχική υγεία, όπου παγκοσμίως, περισσότερο από το 70% των ατόμων που χρειάζονται υπηρεσίες ψυχικής υγείας δεν έχουν πρόσβαση σε αυτές (Kohn, Saxena, Levav &amp; Saraceno, 2004). Παραδόξως, αυτό το κενό υπάρχει σε μια εποχή όπου οι παρεμβάσεις για την ψυχική υγεία, μπορούν να είναι αποτελεσματικές ακόμα και σε περιβάλλοντα, τα οποία οι πόροι είναι περιορισμένοι. </w:t>
      </w:r>
    </w:p>
    <w:p w:rsidR="00000000" w:rsidDel="00000000" w:rsidP="00000000" w:rsidRDefault="00000000" w:rsidRPr="00000000" w14:paraId="00000136">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Σε όλο τον κόσμο, περισσότεροι από 650 εκατομμύρια άνθρωποι ζουν με κάποια διαγνωσμένη ψυχική διαταραχή (WHO, 2015). Ως αποτέλεσμα, πολλές έρευνες έχουν εστιάσει στις κοινωνικές συνέπειες του αυξανόμενου επιπολασμού των ψυχικών ασθενειών, προσπαθώντας να εκτιμήσουν το μέγεθός τους. Ένα γενικό συμπέρασμα που προκύπτει από τις υπάρχουσες μελέτες, είναι ότι οι ψυχικές διαταραχές έχουν ένα σημαντικό κόστος, τόσο άμεσο, όσο και έμμεσο στα άτομα, στις οικογένειές τους και στην κοινωνία. Είναι χαρακτηριστικό, πως το παγκόσμιο οικονομικό κόστος των ψυχικών διαταραχών, ανήλθε στα δυόμιση τρισεκατομμύρια δολάρια Αμερικής για το έτος 2010 και προβλέπεται να  ανέλθει στα έξι τρισεκατομμύρια δολάρια Αμερικής το 2030 (Bloom, Cafiero, Jané-Llopis et al., 2011). Σε ανεπτυγμένες χώρες όπως είναι οι Ηνωμένες Πολιτείες, μόνο το οικονομικό βάρος από την κατάθλιψη, ανήλθε στα διακόσια δέκα δισεκατομμύρια δολάρια το 2010</w:t>
      </w:r>
      <w:r w:rsidDel="00000000" w:rsidR="00000000" w:rsidRPr="00000000">
        <w:rPr>
          <w:rtl w:val="0"/>
        </w:rPr>
        <w:t xml:space="preserve"> (</w:t>
      </w:r>
      <w:r w:rsidDel="00000000" w:rsidR="00000000" w:rsidRPr="00000000">
        <w:rPr>
          <w:rFonts w:ascii="Times New Roman" w:cs="Times New Roman" w:eastAsia="Times New Roman" w:hAnsi="Times New Roman"/>
          <w:sz w:val="24"/>
          <w:szCs w:val="24"/>
          <w:rtl w:val="0"/>
        </w:rPr>
        <w:t xml:space="preserve">Greenberg, Fournier, Sisitsky et al., 2015). Η επιδείνωση της ψυχικής υγείας, έχει σημαντικό αρνητικό αντίκτυπο στη συμμετοχή του ασθενούς στο εργατικό δυναμικό, το οποίο με τη σειρά του αντανακλά το ευκαιριακό, έμμεσο κόστος, των ψυχικών διαταραχών. Επιπλέον, οι ψυχικές διαταραχές, έχουν σημαντικό κοινωνικοοικονομικό κόστος, που υπερβαίνει τις παραδοσιακές εκτιμήσεις, με προεκτάσεις στην κοινωνική συμμετοχή αλλά και το ίδιο το άτομο.</w:t>
      </w:r>
    </w:p>
    <w:p w:rsidR="00000000" w:rsidDel="00000000" w:rsidP="00000000" w:rsidRDefault="00000000" w:rsidRPr="00000000" w14:paraId="00000137">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Ένα σύστημα υγειονομικής περίθαλψης που λειτουργεί σωστά, ανταποκρίνεται με δίκαιο και αποτελεσματικό τρόπο στις ανάγκες και τις προσδοκίες του πληθυσμού (Musgrove, Creese, Preker et al., 2000).  Παρά τις σημαντικές κοινωνικές και οικονομικές επιπτώσεις των ψυχικών διαταραχών σε όλες τις χώρες, απουσιάζουν συγκεκριμένοι δείκτες αξιολόγησης των συστημάτων ψυχικής υγείας παγκοσμίως (OECD, 2021). Η δημιουργία ποιοτικών και προσβάσιμων υπηρεσιών ψυχικής υγείας, που ανταποκρίνονται στις ανάγκες του πληθυσμού και σέβονται το δικαίωμα των πολιτών στην ψυχική υγεία, μπορεί να επιτευχθεί μόνο μέσω του στρατηγικού σχεδιασμού, της αξιολόγησης και της στοχευμένης βελτίωσης των παρεχόμενων υπηρεσιών ψυχικής υγείας</w:t>
      </w:r>
      <w:r w:rsidDel="00000000" w:rsidR="00000000" w:rsidRPr="00000000">
        <w:rPr>
          <w:rtl w:val="0"/>
        </w:rPr>
        <w:t xml:space="preserve"> (</w:t>
      </w:r>
      <w:r w:rsidDel="00000000" w:rsidR="00000000" w:rsidRPr="00000000">
        <w:rPr>
          <w:rFonts w:ascii="Times New Roman" w:cs="Times New Roman" w:eastAsia="Times New Roman" w:hAnsi="Times New Roman"/>
          <w:sz w:val="24"/>
          <w:szCs w:val="24"/>
          <w:rtl w:val="0"/>
        </w:rPr>
        <w:t xml:space="preserve">Samartzis &amp; Talias, 2019). Η αξιολόγηση των υπηρεσιών ψυχικής υγείας είναι αναγκαία και για να εντοπιστούν οι ανάγκες των μειονεκτούντων κοινωνικών ομάδων, ώστε να διασφαλίσει το δικαίωμα της ίσης και καθολικής πρόσβασης στις υπηρεσίες</w:t>
      </w:r>
      <w:r w:rsidDel="00000000" w:rsidR="00000000" w:rsidRPr="00000000">
        <w:rPr>
          <w:rtl w:val="0"/>
        </w:rPr>
        <w:t xml:space="preserve"> (</w:t>
      </w:r>
      <w:r w:rsidDel="00000000" w:rsidR="00000000" w:rsidRPr="00000000">
        <w:rPr>
          <w:rFonts w:ascii="Times New Roman" w:cs="Times New Roman" w:eastAsia="Times New Roman" w:hAnsi="Times New Roman"/>
          <w:sz w:val="24"/>
          <w:szCs w:val="24"/>
          <w:rtl w:val="0"/>
        </w:rPr>
        <w:t xml:space="preserve">Kilbourne, Beck, Spaeth-Rublee et al., 2018).</w:t>
      </w:r>
    </w:p>
    <w:p w:rsidR="00000000" w:rsidDel="00000000" w:rsidP="00000000" w:rsidRDefault="00000000" w:rsidRPr="00000000" w14:paraId="00000138">
      <w:pPr>
        <w:spacing w:after="20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Ο σκοπός της παρούσας εργασίας είναι διττός. Αρχικά, πραγματοποιείται μια βιβλιογραφική ανασκόπηση σχετικά με τις κοινωνικές και οικονομικές επιπτώσεις της ψυχικής υγείας στην οικονομία. Στη συνέχεια, πραγματοποιείται μια συγκριτική αξιολόγηση των συστημάτων ψυχικής υγείας στις χώρες του ΟΟΣΑ, συμπεριλαμβανομένης και της χώρας μας, στη βάση συγκεκριμένων δεικτών. Τέλος, γίνεται μια συζήτηση των ευρημάτων και γίνονται συγκεκριμένες προτάσεις. </w:t>
      </w:r>
    </w:p>
    <w:p w:rsidR="00000000" w:rsidDel="00000000" w:rsidP="00000000" w:rsidRDefault="00000000" w:rsidRPr="00000000" w14:paraId="00000139">
      <w:pPr>
        <w:pStyle w:val="Heading1"/>
        <w:spacing w:after="120" w:before="120" w:lineRule="auto"/>
        <w:jc w:val="center"/>
        <w:rPr>
          <w:rFonts w:ascii="Times New Roman" w:cs="Times New Roman" w:eastAsia="Times New Roman" w:hAnsi="Times New Roman"/>
          <w:color w:val="000000"/>
        </w:rPr>
      </w:pPr>
      <w:bookmarkStart w:colFirst="0" w:colLast="0" w:name="_heading=h.2s8eyo1" w:id="9"/>
      <w:bookmarkEnd w:id="9"/>
      <w:r w:rsidDel="00000000" w:rsidR="00000000" w:rsidRPr="00000000">
        <w:rPr>
          <w:rFonts w:ascii="Times New Roman" w:cs="Times New Roman" w:eastAsia="Times New Roman" w:hAnsi="Times New Roman"/>
          <w:color w:val="000000"/>
          <w:rtl w:val="0"/>
        </w:rPr>
        <w:t xml:space="preserve">ΜΕΡΟΣ IΙ</w:t>
      </w:r>
    </w:p>
    <w:p w:rsidR="00000000" w:rsidDel="00000000" w:rsidP="00000000" w:rsidRDefault="00000000" w:rsidRPr="00000000" w14:paraId="0000013A">
      <w:pPr>
        <w:pStyle w:val="Heading1"/>
        <w:spacing w:after="120" w:before="120" w:lineRule="auto"/>
        <w:jc w:val="center"/>
        <w:rPr>
          <w:rFonts w:ascii="Times New Roman" w:cs="Times New Roman" w:eastAsia="Times New Roman" w:hAnsi="Times New Roman"/>
          <w:color w:val="000000"/>
        </w:rPr>
      </w:pPr>
      <w:bookmarkStart w:colFirst="0" w:colLast="0" w:name="_heading=h.17dp8vu" w:id="10"/>
      <w:bookmarkEnd w:id="10"/>
      <w:r w:rsidDel="00000000" w:rsidR="00000000" w:rsidRPr="00000000">
        <w:rPr>
          <w:rFonts w:ascii="Times New Roman" w:cs="Times New Roman" w:eastAsia="Times New Roman" w:hAnsi="Times New Roman"/>
          <w:color w:val="000000"/>
          <w:rtl w:val="0"/>
        </w:rPr>
        <w:t xml:space="preserve">ΒΙΒΛΙΟΓΡΑΦΙΚΗ ΑΝΑΣΚΟΠΗΣΗ</w:t>
      </w:r>
    </w:p>
    <w:p w:rsidR="00000000" w:rsidDel="00000000" w:rsidP="00000000" w:rsidRDefault="00000000" w:rsidRPr="00000000" w14:paraId="0000013B">
      <w:pPr>
        <w:pStyle w:val="Heading2"/>
        <w:jc w:val="center"/>
        <w:rPr>
          <w:rFonts w:ascii="Times New Roman" w:cs="Times New Roman" w:eastAsia="Times New Roman" w:hAnsi="Times New Roman"/>
          <w:b w:val="1"/>
          <w:color w:val="000000"/>
          <w:sz w:val="28"/>
          <w:szCs w:val="28"/>
        </w:rPr>
      </w:pPr>
      <w:bookmarkStart w:colFirst="0" w:colLast="0" w:name="_heading=h.3rdcrjn" w:id="11"/>
      <w:bookmarkEnd w:id="11"/>
      <w:r w:rsidDel="00000000" w:rsidR="00000000" w:rsidRPr="00000000">
        <w:rPr>
          <w:rFonts w:ascii="Times New Roman" w:cs="Times New Roman" w:eastAsia="Times New Roman" w:hAnsi="Times New Roman"/>
          <w:b w:val="1"/>
          <w:color w:val="000000"/>
          <w:sz w:val="28"/>
          <w:szCs w:val="28"/>
          <w:rtl w:val="0"/>
        </w:rPr>
        <w:t xml:space="preserve">2.1. Παγκόσμια οικονομική και κοινωνική επιβάρυνση από τις ψυχικές διαταραχές</w:t>
      </w:r>
    </w:p>
    <w:p w:rsidR="00000000" w:rsidDel="00000000" w:rsidP="00000000" w:rsidRDefault="00000000" w:rsidRPr="00000000" w14:paraId="0000013C">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Tο παγκόσμιο οικονομικό κόστος των ψυχικών διαταραχών, ανήλθε στα 2,5 τρισεκατομμύρια δολάρια Αμερικής για το έτος 2010, ενώ το προβλεπόμενο κόστος, αναμένεται να αυξηθεί το 2030, στα έξι τρισεκατομμύρια δολάρια Αμερικής (Bloom, Cafiero, Jané-Llopis et al., 2011). Το οικονομικό κόστος, αποτελείται, τόσο από τις δαπάνες θεραπείας όσο και από τις δαπάνες που σχετίζονται με την απώλεια εισοδήματος, ενώ ένα μεγάλο μερίδιο του κόστους οφείλεται και στο έμμεσο κόστος των ψυχικών ασθενειών. Ο Άτλαντας Ψυχικής Υγείας του ΠΟΥ, παρέχει σε τακτά χρονικά διαστήματα πληροφορίες για τις εθνικές δαπάνες για την ψυχική υγεία καθώς και για τις πιο σημαντικές πηγές χρηματοδότησης αυτών των δαπανών, όπως είναι η κυβέρνηση, οι μη κυβερνητικές οργανώσεις, οι ίδιοι οι ασθενείς και οι οικογένειές τους. Σύμφωνα με τα δεδομένα της τελευταίας έκθεσης, το 2020, στο 79% των 120 χωρών που καταγράφονται στον Άτλαντα, οι κυβερνήσεις αποτελούν τον κύριο φορέα χρηματοδότησης (WHO, 2018). Ωστόσο, στο 18% των χωρών, η ιδιωτική χρηματοδότηση από τα νοικοκυριά αποτελεί την κύρια μορφή χρηματοδότησης, με το 31% των χωρών να την κατατάσσει ως τη δεύτερη πιο σημαντική πηγή κεφαλαίων, κυρίως μέσω των άμεσων δαπανών από την τσέπη τους ή του κόστους ιδιωτικής ασφάλισης. Τα δεδομένα αυτά είναι αρκετά ανησυχητικά, διότι αναδεικνύεται ότι η προσβασιμότητα στις υπηρεσίες ψυχικής υγείας, συνδέεται στενά με το εισόδημα των νοικοκυριών, γεγονός που θέτει σαφώς σε μειονεκτική θέση τα νοικοκυριά που έχουν χαμηλό εισόδημα.</w:t>
      </w:r>
    </w:p>
    <w:p w:rsidR="00000000" w:rsidDel="00000000" w:rsidP="00000000" w:rsidRDefault="00000000" w:rsidRPr="00000000" w14:paraId="0000013D">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Στον Άτλαντα, συλλέγονται επίσης αναλυτικά δεδομένα σχετικά με τις ετήσιες κρατικές δαπάνες που αφορούν στις ενδονοσοκομειακές και ημερήσιες υπηρεσίες φροντίδας, στις εξωνοσοκομειακές υπηρεσίες, στην πρωτοβάθμια φροντίδα υγείας, στις υπηρεσίες κοινωνικής φροντίδας και σε κάποιες άλλες δαπάνες. Περισσότερες από 60 χώρες παρείχαν ορισμένες πληροφορίες για τις δαπάνες, αλλά μόνο 41 από αυτές ανέφεραν τις ενδονοσοκομειακές και εξωνοσοκομειακές δαπάνες, ενώ ακόμα λιγότερες παρείχαν δεδομένα σχετικά με τις δαπάνες των υπηρεσιών πρωτοβάθμιας περίθαλψης, οι οποίες αποτελούν πολύ σημαντικούς θύλακες στην κοινότητα και σημεία εισόδου για τη θεραπεία των ψυχικών διαταραχών (WHO, 2018). Λαμβάνοντας υπόψη ότι τα στοιχεία για τις δαπάνες είναι ελλιπή σύμφωνα με τα υπάρχοντα δεδομένα, η μέση κατά κεφαλήν ετήσια δαπάνη των κυβερνήσεων παγκοσμίως είναι 0.08$ δολάρια Αμερικής στις χώρες χαμηλού εισοδήματος, 0.40$ δολάρια Αμερικής, στις χώρες χαμηλού μεσαίου εισοδήματος και 3.29$ δολάρια Αμερικής, στις χώρες μεσαίου ανώτερου εισοδήματος. Το μεγαλύτερο μέρος από αυτές τις δαπάνες, που ανέρχεται στα 0.01$ δολάρια Αμερικής στις χώρες χαμηλού εισοδήματος, 0.37$ δολάρια Αμερικής στις χώρες χαμηλού μεσαίου εισοδήματος και 2,69$ δολάρια Αμερικής στις χώρες μεσαίου ανώτερου εισοδήματος, πηγαίνει σε μια μορφή θεραπείας που έχει αποδειχθεί πως είναι συχνά αναποτελεσματική και πολλές φορές ακόμη και στιγματιστική, δηλαδή, τα ψυχιατρικά νοσοκομεία. Οι χώρες υψηλού εισοδήματος αναφέρουν μια μέση κατά κεφαλήν δαπάνη που ανέρχεται σχεδόν στα 60$ δολάρια Αμερικής, δαπανώντας περίπου το 30% στα ψυχιατρικά νοσοκομεία, το 30% σε άλλες ενδονοσοκομειακές υπηρεσίες ημερήσιας φροντίδας φροντίδες και το 30% σε εξωνοσοκομειακές υπηρεσίες και στην πρωτοβάθμια περίθαλψη. Γενικότερα από τα διαθέσιμα δεδομένα, φαίνεται πως όσο υψηλότερο είναι το κατά κεφαλήν ακαθάριστο εθνικό εισόδημα, τόσο υψηλότερες είναι και οι δαπάνες για την ψυχική υγεία. </w:t>
      </w:r>
    </w:p>
    <w:p w:rsidR="00000000" w:rsidDel="00000000" w:rsidP="00000000" w:rsidRDefault="00000000" w:rsidRPr="00000000" w14:paraId="0000013E">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Ωστόσο, από όλες τις χώρες που συμπεριλαμβάνονταν στην αναφορά, μόνο επτά από αυτές διέθεταν περισσότερο από το 5% των δαπανών τους για την ψυχική υγεία. Σε μια μελέτη μοντελοποίησης του ετήσιου κόστους παροχής οικονομικά αποδοτικών παρεμβάσεων για τη σχιζοφρένεια, την κατάθλιψη, την επιληψία και τις διαταραχές χρήσης αλκοόλ στην υποσαχάρια Αφρική και τη νότια Ασία, υπολογίστηκε ότι οι απαιτούμενες κατά κεφαλήν δαπάνες είναι 3-4$ δολάρια Αμερικής (Chisholm &amp; Saxena, 2012), ενώ το παγκόσμιο ετήσιο μέσο κόστος για τη θεραπεία της κατάθλιψης σε διάστημα 15 ετών, υπολογίστηκε σε 0,08$ δολάρια Αμερικής ανά άτομο στις χώρες χαμηλού εισοδήματος, σε 0,34$ δολάρια Αμερικής στις χώρες με χαμηλότερο μεσαίο εισόδημα, σε 1,12$ δολάρια Αμερικής σε χώρες ανώτερου μεσαίου εισοδήματος και σε 3,89 $ δολάρια Αμερικής σε χώρες υψηλού εισοδήματος (Chisholm, Sweeny, Sheehan et al., 2016).</w:t>
      </w:r>
    </w:p>
    <w:p w:rsidR="00000000" w:rsidDel="00000000" w:rsidP="00000000" w:rsidRDefault="00000000" w:rsidRPr="00000000" w14:paraId="0000013F">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Ο Άτλαντας Ψυχικής Υγείας του ΠΟΥ για το έτος 2011</w:t>
      </w:r>
      <w:r w:rsidDel="00000000" w:rsidR="00000000" w:rsidRPr="00000000">
        <w:rPr>
          <w:vertAlign w:val="superscript"/>
        </w:rPr>
        <w:footnoteReference w:customMarkFollows="0" w:id="0"/>
      </w:r>
      <w:r w:rsidDel="00000000" w:rsidR="00000000" w:rsidRPr="00000000">
        <w:rPr>
          <w:rFonts w:ascii="Times New Roman" w:cs="Times New Roman" w:eastAsia="Times New Roman" w:hAnsi="Times New Roman"/>
          <w:sz w:val="24"/>
          <w:szCs w:val="24"/>
          <w:rtl w:val="0"/>
        </w:rPr>
        <w:t xml:space="preserve">, παρείχε επίσης στοιχεία για τη μέση φαρμακευτική δαπάνη ανά 100.000 πληθυσμού, για τις ψυχικές διαταραχές και τις διαταραχές συμπεριφοράς. Οι μέσες ετήσιες δαπάνες κυμαίνονταν σε 1.700$ δολάρια Αμερικής στις χώρες χαμηλού εισοδήματος, σε 17.200$ δολάρια στις χώρες με χαμηλότερο μεσαίο εισόδημα, σε 82.700$ δολάρια στις χώρες με ανώτερο μεσαίο εισόδημα και 2.630.500$ δολάρια στις χώρες υψηλού εισοδήματος, με τις διάμεσες δαπάνες στις χώρες υψηλού εισοδήματος να είναι περίπου 340 φορές μεγαλύτερες από τις διάμεσες δαπάνες στις χώρες χαμηλού και χαμηλότερου μεσαίου εισοδήματος. Όταν αυτά τα στοιχεία αναλύονται ανά περιοχή του κόσμου, η Ευρώπη, είχε τις υψηλότερες διάμεσες δαπάνες, που ανέρχονταν σε 2.598.300$ δολάρια Αμερικής. Το μεγαλύτερο μέρος αυτών των δαπανών προοριζόταν για αντιψυχωσικά και αντικαταθλιπτικά φάρμακα. Ενώ οι χαμηλές δαπάνες υποδηλώνουν δυνητικά την έλλειψη θεραπείας, οι τεράστιες δαπάνες σε χώρες υψηλού εισοδήματος, ειδικά στην Ευρώπη, εγείρουν το ερώτημα της καταλληλότητας και αποτελεσματικότητας των ευρέως χρησιμοποιούμενων αντιψυχωσικών και αντικαταθλιπτικών. Οι ψυχικές διαταραχές είναι θεραπεύσιμες, αλλά συχνά καταλήγουν σε μια χρόνια αναπηρία. Η σχιζοφρένεια για παράδειγμα, έχει έναρξη στην πρώιμη ενήλικη ζωή, με αποτέλεσμα να έχει ουσιαστικό αρνητικό αντίκτυπο σε πολλές πτυχές της ζωής του ατόμου, μία από τις οποίες είναι η ικανότητά του να εργαστεί (Murray, Vos, Lozano et al., 2012). Ως εκ τούτου, ένα μεγάλο μέρος της οικονομικής επιβάρυνσης για τις ψυχικές διαταραχές, δε σχετίζεται με τη θεραπεία, αλλά με την ανεργία που πλήττει τους ασθενείς, καθώς και με τη μειωμένη παραγωγικότητα των φροντιστών της οικογένειας και την αντίστοιχη απώλεια εισοδήματος, όπως αναφέρεται στην Έκθεση του ΠΟΥ «</w:t>
      </w:r>
      <w:r w:rsidDel="00000000" w:rsidR="00000000" w:rsidRPr="00000000">
        <w:rPr>
          <w:rFonts w:ascii="Times New Roman" w:cs="Times New Roman" w:eastAsia="Times New Roman" w:hAnsi="Times New Roman"/>
          <w:i w:val="1"/>
          <w:sz w:val="24"/>
          <w:szCs w:val="24"/>
          <w:rtl w:val="0"/>
        </w:rPr>
        <w:t xml:space="preserve">Επενδύοντας στην Ψυχική Υγεία: Αποδείξεις για Δράση</w:t>
      </w:r>
      <w:r w:rsidDel="00000000" w:rsidR="00000000" w:rsidRPr="00000000">
        <w:rPr>
          <w:rFonts w:ascii="Times New Roman" w:cs="Times New Roman" w:eastAsia="Times New Roman" w:hAnsi="Times New Roman"/>
          <w:sz w:val="24"/>
          <w:szCs w:val="24"/>
          <w:rtl w:val="0"/>
        </w:rPr>
        <w:t xml:space="preserve">», που δημοσιεύτηκε το 2013</w:t>
      </w:r>
      <w:r w:rsidDel="00000000" w:rsidR="00000000" w:rsidRPr="00000000">
        <w:rPr>
          <w:vertAlign w:val="superscript"/>
        </w:rPr>
        <w:footnoteReference w:customMarkFollows="0" w:id="1"/>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40">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Τα δεδομένα παγκοσμίως, σχετικά με το έμμεσο κόστος των ψυχικών διαταραχών είναι σπάνια, αλλά υπάρχουν διαθέσιμες προβλέψεις. Σύμφωνα με προβλέψεις για το έτος 2030, το έμμεσο κόστος των ψυχικών διαταραχών θα αναλογεί περίπου σε τέσσερα τρισεκατομμύρια δολάρια Αμερικής (Bloom et al., 2011). Το συνολικό κόστος των ψυχικών ασθενειών, προβλέπεται να είναι περίπου δύο τρισεκατομμύρια δολάρια το 2030 σε χώρες χαμηλού και μεσαίου εισοδήματος, που περιλαμβάνει περίπου 1,5 τρισεκατομμύρια δολάρια σε έμμεσο κόστος και το συνολικό κόστος για τις χώρες υψηλού εισοδήματος προβλέπεται να είναι σχεδόν διπλάσιο, στα 4 δολάρια τρισεκατομμύρια, με περίπου 2,5 τρισεκατομμύρια δολάρια σε έμμεσο κόστος. Η γενική οικονομική επιβάρυνση της ψυχικής ασθένειας ως προς την «αξία της χαμένης παραγωγής» κατά την περίοδο 2011–2030, εκτιμάται στα 16,3 τρισεκατομμύρια δολάρια Αμερικής και υπερβαίνει την εκτιμώμενη οικονομική επιβάρυνση για τον διαβήτη (1,7 τρισεκατομμύρια δολάρια Αμερικής), τις χρόνιες αναπνευστικές παθήσεις (4,4 τρισεκατομμύρια δολάρια Αμερικής) και τον καρκίνο (8,3 τρισεκατομμύρια δολάρια Αμερικής), πλησιάζοντας πολύ το κόστος των καρδιαγγειακών παθήσεων (15,6 τρισεκατομμύρια δολάρια Αμερικής) (Bloom et al., 2011).</w:t>
      </w:r>
    </w:p>
    <w:p w:rsidR="00000000" w:rsidDel="00000000" w:rsidP="00000000" w:rsidRDefault="00000000" w:rsidRPr="00000000" w14:paraId="00000141">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Οι ψυχικές διαταραχές, συνδέονται επίσης σε παγκόσμιο επίπεδο με υψηλή θνησιμότητα και υψηλή συννοσηρότητα (Chesney, Goodwin &amp; Fazel, 2014). Μια ευρεία μετα-ανασκόπηση είκοσι συστηματικών ανασκοπήσεων, έδειξε ότι όλες οι ψυχικές διαταραχές σχετίζονται με αυξημένο κίνδυνο θνησιμότητας σε σύγκριση με τον γενικό πληθυσμό και ότι αρκετές ψυχικές διαταραχές, όπως είναι η χρήση ουσιών και οι διατροφικές διαταραχές, έχουν συγκρίσιμους ή ακόμη μεγαλύτερους κινδύνους θνησιμότητας από το βαρύ κάπνισμα, που οδηγεί σε σημαντική μείωση του προσδόκιμου ζωής, που κυμαίνεται στα 10 έως 20 χρόνια απώλειας (Chesney et al., 2014). Οι λόγοι για τόσο υψηλή θνησιμότητα είναι οι άμεσες συνέπειες των ψυχικών διαταραχών στην υγεία, όπως είναι για παράδειγμα, η κατάχρηση ουσιών ή οι διατροφικές διαταραχές και οι ανθιυγιεινές συμπεριφορές, όπως είναι τα υψηλά ποσοστά βαρέων καπνιστών μεταξύ των ατόμων με σχιζοφρένεια (Brown, Inskip &amp; Barraclough, 2011</w:t>
      </w:r>
      <w:r w:rsidDel="00000000" w:rsidR="00000000" w:rsidRPr="00000000">
        <w:rPr>
          <w:rFonts w:ascii="Times New Roman" w:cs="Times New Roman" w:eastAsia="Times New Roman" w:hAnsi="Times New Roman"/>
          <w:sz w:val="24"/>
          <w:szCs w:val="24"/>
          <w:highlight w:val="white"/>
          <w:rtl w:val="0"/>
        </w:rPr>
        <w:t xml:space="preserve">; Smith, Langan, McLean  et al., 2013</w:t>
      </w:r>
      <w:r w:rsidDel="00000000" w:rsidR="00000000" w:rsidRPr="00000000">
        <w:rPr>
          <w:rFonts w:ascii="Times New Roman" w:cs="Times New Roman" w:eastAsia="Times New Roman" w:hAnsi="Times New Roman"/>
          <w:sz w:val="24"/>
          <w:szCs w:val="24"/>
          <w:rtl w:val="0"/>
        </w:rPr>
        <w:t xml:space="preserve">). Επίσης, υπάρχει υψηλός κίνδυνος αυτοκτονίας, στην κατάθλιψη και στις οριακές διαταραχές, μεταξύ άλλων (Cuijpers &amp; Smith, 2002; Chesney et al., 2014).  Όσον αφορά τη νοσηρότητα, οι ψυχικές διαταραχές αυξάνουν τον κίνδυνο εμφάνισης μεταδοτικών και μη μεταδοτικών ασθενειών, όπως είναι οι καρδιαγγειακές παθήσεις, ενώ πολλές παθήσεις, όπως είναι ο καρκίνος και τα αναπνευστικά νοσήματα, αυξάνουν σημαντικά τον κίνδυνο εμφάνισης ψυχικών διαταραχών, όπως είναι η κατάθλιψη ή το άγχος (Chesney et al., 2014).</w:t>
      </w:r>
    </w:p>
    <w:p w:rsidR="00000000" w:rsidDel="00000000" w:rsidP="00000000" w:rsidRDefault="00000000" w:rsidRPr="00000000" w14:paraId="00000142">
      <w:pPr>
        <w:spacing w:after="20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Τα υψηλά ποσοστά πρόωρης θνησιμότητας και η υψηλή συννοσηρότητα αντικατοπτρίζονται στην παγκόσμια επιβάρυνση της νόσου που αποδίδεται στις ψυχικές διαταραχές. Χρησιμοποιώντας δεδομένα από την έρευνα για την Παγκόσμια Επιβάρυνση των Ασθενειών του Παγκόσμιου Οργανισμού Υγείας το 2010, οι Whiteford και συνεργάτες (2013) υπολόγισαν ότι το ίδιο έτος 183,9 εκατομμύρια σταθμισμένα ως προς την αναπηρία έτη ζωής (DALY), οφείλονταν στις ψυχικές διαταραχές και τις διαταραχές χρήσης ουσιών, που αντιπροσώπευαν το 7,4% όλων των σταθμισμένων ως προς την αναπηρία ετών ζωής παγκοσμίως (Whiteford, Degenhardt, Rehm et al., 2013). Επιπλέον, οι ψυχικές διαταραχές και οι διαταραχές χρήσης ουσιών, ευθύνονταν για 8,6 εκατομμύρια έτη απώλειας ζωής (YLLs), που αναλογούσε στο 0,5% όλων των ετών απώλειας ζωής παγκοσμίως και 175,3 εκατομμύρια έτη απώλειας ζωής λόγω αναπηρίας, που αναλογούσε στο 22,9% όλων των ετών απώλειας ζωής λόγω αναπηρίας παγκοσμίως. Οι ψυχικές διαταραχές είναι η κύρια αιτία απώλειας ετών ζωής λόγω αναπηρίας παγκοσμίως. Οι καταθλιπτικές διαταραχές, αντιπροσωπεύουν το 40,5% των σταθμισμένων ως προς την αναπηρία ετών ζωής που αποδίδονται στις ψυχικές διαταραχές, ακολουθούμενες από τις αγχώδεις διαταραχές (14,6%), τις διαταραχές χρήσης ουσιών (10,9%), τις διαταραχές χρήσης αλκοόλ (9,6%), τη σχιζοφρένεια (7,4%) και τη διπολική διαταραχή ( 7,0%) (Whiteford et al., 2013).</w:t>
      </w:r>
    </w:p>
    <w:p w:rsidR="00000000" w:rsidDel="00000000" w:rsidP="00000000" w:rsidRDefault="00000000" w:rsidRPr="00000000" w14:paraId="00000143">
      <w:pPr>
        <w:pStyle w:val="Heading2"/>
        <w:spacing w:after="120" w:lineRule="auto"/>
        <w:jc w:val="center"/>
        <w:rPr>
          <w:rFonts w:ascii="Times New Roman" w:cs="Times New Roman" w:eastAsia="Times New Roman" w:hAnsi="Times New Roman"/>
          <w:b w:val="1"/>
          <w:color w:val="000000"/>
          <w:sz w:val="28"/>
          <w:szCs w:val="28"/>
        </w:rPr>
      </w:pPr>
      <w:bookmarkStart w:colFirst="0" w:colLast="0" w:name="_heading=h.26in1rg" w:id="12"/>
      <w:bookmarkEnd w:id="12"/>
      <w:r w:rsidDel="00000000" w:rsidR="00000000" w:rsidRPr="00000000">
        <w:rPr>
          <w:rFonts w:ascii="Times New Roman" w:cs="Times New Roman" w:eastAsia="Times New Roman" w:hAnsi="Times New Roman"/>
          <w:b w:val="1"/>
          <w:color w:val="000000"/>
          <w:sz w:val="28"/>
          <w:szCs w:val="28"/>
          <w:rtl w:val="0"/>
        </w:rPr>
        <w:t xml:space="preserve">2.2. Επιβάρυνση και έμμεσο κόστος των ψυχικών διαταραχών</w:t>
      </w:r>
    </w:p>
    <w:p w:rsidR="00000000" w:rsidDel="00000000" w:rsidP="00000000" w:rsidRDefault="00000000" w:rsidRPr="00000000" w14:paraId="00000144">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Τα έτη ζωής προσαρμοσμένα στην αναπηρία (DALY), είναι ένας δείκτης που συνδυάζει τη νοσηρότητα (χρόνια ζωής με αναπηρία) και τη θνησιμότητα (χρόνια απώλειας ζωής) (WHO, 2001). Η επιβάρυνση των ψυχικών διαταραχών, των νευρολογικών παθήσεων και της κατάχρησης ουσιών μαζί, αντιστοιχεί σε περισσότερο από το 10% των συνολικών ετών ζωής προσαρμοσμένα στην αναπηρία παγκοσμίως (DALY), εκ των οποίων το 60% οφείλεται αποκλειστικά στις ψυχικές διαταραχές (Whiteford, Ferrari, Degenhardt et al., 2015). Μεταξύ των ψυχικών διαταραχών, η κατάθλιψη αντιπροσωπεύει περισσότερο από το 40% των ετών ζωής προσαρμοσμένα στην αναπηρία, ακολουθούμενη από το άγχος, την κατάχρηση ναρκωτικών και αλκοόλ, τη σχιζοφρένεια και τις διπολικές διαταραχές, όπως αναφέρθηκε στην προηγούμενη ενότητα. Ωστόσο, η αυξανόμενη επιβάρυνση των ψυχικών διαταραχών, δεν επηρεάζει αποκλειστικά τους δείκτες υγείας όπως είναι η θνησιμότητα και η νοσηρότητα (Whiteford et al., 2015). Αντιθέτως, έχει και εξωτερικές επιδράσεις καθώς και έμμεσο κόστος για την κοινωνία (Knapp &amp; Ilson, 2002; Knapp, 2003).</w:t>
      </w:r>
    </w:p>
    <w:p w:rsidR="00000000" w:rsidDel="00000000" w:rsidP="00000000" w:rsidRDefault="00000000" w:rsidRPr="00000000" w14:paraId="00000145">
      <w:pPr>
        <w:spacing w:after="12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Το κόστος των ψυχικών διαταραχών, αντιπροσωπεύει σχεδόν το ένα τρίτο του συνολικού κόστους που οφείλεται στις «παραμελημένες ασθένειες» (Mihalopoulos &amp; Chatterton, 2015) και αυτό το κόστος για τις κοινωνίες, υπολογίστηκε στα 2,5 τρισεκατομμύρια δολάρια Αμερικής, με βάση τα δεδομένα της μελέτης για την Παγκόσμια Επιβάρυνση των Ασθενειών του ΠΟΥ το 2010 (Bloom et al., 2011; McGorry, 2013; Trautmann, Rehm &amp; Wittchen, 2016). Σχεδόν το 70% αυτού του συνολικού κόστους οφείλεται στο έμμεσο ή «αόρατο» κόστος, το οποίο αναμένεται να ανέλθει στα 6 τρισεκατομμύρια δολάρια Αμερικής μέχρι το 2030 ((Bloom et al., 2011;Trautmann et al., 2016). Επομένως, το κόστος των ψυχικών διαταραχών επηρεάζει την οικονομική ανάπτυξη και το ΑΕΠ των χωρών με ιδιαίτερα  καταστροφικές οικονομικές συνέπειες, ιδίως σε χώρες χαμηλού και μεσαίου εισοδήματος, καθώς επηρεάζεται κυρίως ο πληθυσμός νεότερης ηλικίας (McGorry, 2013; Lund, Myer, Stein et al., 2013; Trautmann, Rehm &amp; Wittchen, 2016). Το έμμεσο κόστος, σχετίζεται με τις μη-υγειονομικές οικονομικές απώλειες εξαιτίας των ψυχικών διαταραχών. Αυτές οι απώλειες πόρων, μπορεί να είναι σε ατομικό, τομεακό (επιχειρήσεις) και/ή εθνικό επίπεδο. Παρότι η απώλεια παραγωγικότητας στην εργασία, αποτελεί ένα βασικό μέρος του έμμεσου κόστους, υπάρχουν και άλλες απώλειες που πρέπει επίσης να λαμβάνονται υπόψη στις οικονομικές αξιολογήσεις, όπως θα αναφέρουμε παρακάτω (Knapp &amp; Ilson, 2002).</w:t>
      </w:r>
    </w:p>
    <w:p w:rsidR="00000000" w:rsidDel="00000000" w:rsidP="00000000" w:rsidRDefault="00000000" w:rsidRPr="00000000" w14:paraId="00000146">
      <w:pPr>
        <w:pStyle w:val="Heading2"/>
        <w:spacing w:after="120" w:lineRule="auto"/>
        <w:rPr>
          <w:rFonts w:ascii="Times New Roman" w:cs="Times New Roman" w:eastAsia="Times New Roman" w:hAnsi="Times New Roman"/>
          <w:i w:val="1"/>
          <w:color w:val="000000"/>
          <w:sz w:val="24"/>
          <w:szCs w:val="24"/>
        </w:rPr>
      </w:pPr>
      <w:bookmarkStart w:colFirst="0" w:colLast="0" w:name="_heading=h.lnxbz9" w:id="13"/>
      <w:bookmarkEnd w:id="13"/>
      <w:r w:rsidDel="00000000" w:rsidR="00000000" w:rsidRPr="00000000">
        <w:rPr>
          <w:rFonts w:ascii="Times New Roman" w:cs="Times New Roman" w:eastAsia="Times New Roman" w:hAnsi="Times New Roman"/>
          <w:i w:val="1"/>
          <w:color w:val="000000"/>
          <w:sz w:val="24"/>
          <w:szCs w:val="24"/>
          <w:rtl w:val="0"/>
        </w:rPr>
        <w:t xml:space="preserve">2.2.1.Απώλειες σε εθνικό επίπεδο</w:t>
      </w:r>
    </w:p>
    <w:p w:rsidR="00000000" w:rsidDel="00000000" w:rsidP="00000000" w:rsidRDefault="00000000" w:rsidRPr="00000000" w14:paraId="00000147">
      <w:pPr>
        <w:spacing w:after="20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Η αυτοκτονία, αποτελεί είναι ένα σημαντικό πρόβλημα υγείας σε παγκόσμιο επίπεδο, καθώς αντιστοιχεί  στο 1,4% όλων των θανάτων παγκοσμίως (Brådvik, 2018). Οι περισσότερες αυτοκτονίες σχετίζονται με τις ψυχικές διαταραχές, όπως είναι η κατάθλιψη, οι διαταραχές χρήσης ουσιών και η ψύχωση, ενώ και άλλες διαταραχές όπως είναι το άγχος, οι διαταραχές προσωπικότητας και οι οργανικές ψυχικές διαταραχές, αυξάνουν τις πιθανότητες αυτοκτονίας (Bachmann, 2018). Οι ψυχικές ασθένειες, συνδέονται επίσης με αυξημένα ποσοστά βίας και εγκληματικότητας, ιδιαίτερα ανάμεσα σε ανθρώπους οι οποίοι έχουν λάβει ενδονοσοκομειακή φροντίδα (Ghiasi, Azhar &amp; Singh, 2022). Πολλά άτομα με ψυχικές ασθένειες, αντιμετωπίζουν σημαντικά προβλήματα, όπως είναι η φτώχεια και η έλλειψη στέγασης, ενώ άλλοι οδηγούνται συχνά στην ανεργία ή την πρόωρη συνταξιοδότηση. Αυτό έχει ως αποτέλεσμα να υπάρχει μεγαλύτερη ανάγκη για κοινωνικά επιδόματα, με σημαντικό οικονομικό κόστος για όλες τις χώρες παγκοσμίως (OECD, 2021). Τέλος, οι ψυχικές ασθένειες, επιδρούν αρνητικά στην οικονομική ανάπτυξη μιας χώρας, εξαιτίας του άμεσου κόστους τους, που ανέρχεται από 2% έως 4,4% του ΑΕΠ στις χώρες υψηλού εισοδήματος καθώς και έμμεσα, μέσω της απώλειας ανθρώπινου κεφαλαίου (OECD, 2014).</w:t>
      </w:r>
    </w:p>
    <w:p w:rsidR="00000000" w:rsidDel="00000000" w:rsidP="00000000" w:rsidRDefault="00000000" w:rsidRPr="00000000" w14:paraId="00000148">
      <w:pPr>
        <w:pStyle w:val="Heading2"/>
        <w:spacing w:after="120" w:lineRule="auto"/>
        <w:jc w:val="center"/>
        <w:rPr>
          <w:rFonts w:ascii="Times New Roman" w:cs="Times New Roman" w:eastAsia="Times New Roman" w:hAnsi="Times New Roman"/>
          <w:i w:val="1"/>
          <w:color w:val="000000"/>
          <w:sz w:val="24"/>
          <w:szCs w:val="24"/>
        </w:rPr>
      </w:pPr>
      <w:bookmarkStart w:colFirst="0" w:colLast="0" w:name="_heading=h.35nkun2" w:id="14"/>
      <w:bookmarkEnd w:id="14"/>
      <w:r w:rsidDel="00000000" w:rsidR="00000000" w:rsidRPr="00000000">
        <w:rPr>
          <w:rFonts w:ascii="Times New Roman" w:cs="Times New Roman" w:eastAsia="Times New Roman" w:hAnsi="Times New Roman"/>
          <w:i w:val="1"/>
          <w:color w:val="000000"/>
          <w:sz w:val="24"/>
          <w:szCs w:val="24"/>
          <w:rtl w:val="0"/>
        </w:rPr>
        <w:t xml:space="preserve">2.2.2. Τομεακό/Εργασιακό/Επιχειρησιακό επίπεδο</w:t>
      </w:r>
    </w:p>
    <w:p w:rsidR="00000000" w:rsidDel="00000000" w:rsidP="00000000" w:rsidRDefault="00000000" w:rsidRPr="00000000" w14:paraId="00000149">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Οι ψυχικές διαταραχές, οδηγούν σε απώλεια παραγωγικότητας, εξαιτίας της έκπτωσης των ικανοτήτων των πασχόντων, των αυξημένων απουσιών από την εργασία τους και των αυξημένων αναρρωτικών αδειών. Σε σύγκριση με τα άτομα που έχουν κάποια σωματική διαταραχή και μειωμένη εργασιακή απόδοση, τα άτομα με μέτριες (69%) και σοβαρές (90%) ψυχικές διαταραχές, έχουν τριπλάσια πιθανότητα να έχουν έκπτωση απόδοσης στο χώρο εργασίας τους (OECD, 2014). Μεταξύ όλων των διαταραχών, η κατάθλιψη θεωρείται η πιο δαπανηρή ασθένεια, όσον αφορά την αναπηρία στην εργασία (Chisholm, Diehr, Knapp et al., 2013; Wang, Aguilar-Gaxiola, Alonso et al., 2007; Chisholm et al., 2016). Η κατάθλιψη επηρεάζει σημαντικά την απόδοση στην εργασία με διαφορετικούς τρόπους, κυρίως επειδή βλάπτει τις γνωστικές λειτουργίες του ατόμου, με αποτέλεσμα να εμφανίζεται έκπτωση στη δυνατότητα λήψης αποφάσεων, δυσκολία στη διαχείριση του χρόνου, κακή ικανότητα εστίασης στα εργασιακά καθήκοντα και απομείωση της μνημονικής ικανότητας. Επιπλέον, η κατάθλιψη προκαλεί συμπτώματα κόπωσης και απώλειας ενέργειας καθώς και πολλαπλά σωματικά παράπονα και ενοχλήσεις. </w:t>
      </w:r>
    </w:p>
    <w:p w:rsidR="00000000" w:rsidDel="00000000" w:rsidP="00000000" w:rsidRDefault="00000000" w:rsidRPr="00000000" w14:paraId="0000014A">
      <w:pPr>
        <w:spacing w:after="20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Οι απουσίες από την εργασία και η απώλεια παραγωγικότητας, είναι πιο συχνές και σοβαρές μεταξύ των ατόμων με κατάθλιψη, παρά μεταξύ των ατόμων με άλλες χρόνιες ασθένειες. Είναι χαρακτηριστικό, πως η εργασιακή αναπηρία αντιπροσωπεύει περίπου το 60% του συνολικού κόστους της κατάθλιψης (Greenberg, Kessler, Birnbaum et al., 2003). Ακόμη και σε σύγκριση με άλλες ασθένειες που προκαλούν σημαντική επιβάρυνση, όπως είναι η ρευματοειδής αρθρίτιδα, οι εργαζόμενοι με κατάθλιψη εμφανίζουν χειρότερη απόδοση σε όλες τις εργασιακές διαστάσεις, όπως είναι η διαχείριση του χρόνου και τα εργασιακά αποτελέσματα (Adler, McLaughlin, Rogers et al., 2006). Ομοίως, όταν οι εργαζόμενοι με κατάθλιψη συγκρίθηκαν με εργαζόμενους που είχαν άλλα νοσήματα, όπως είναι η αρθρίτιδα και η υψηλή αρτηριακή πίεση, η κατάθλιψη ήταν η μόνη πάθηση που συσχετιζόταν με μειωμένη εργασιακή απόδοση και παραγωγικότητα (Wang et al., 2007). Δεδομένης της επίδρασης της κατάθλιψης, οι επιχειρήσεις επιβαρύνονται και έμμεσα, εξαιτίας του κόστους αντικατάστασης των εργαζομένων. Τέλος, πολλά άτομα με ψυχικές ασθένειες, οδηγούνται σε πρόωρη συνταξιοδότηση. Η πρόωρη συνταξιοδότηση, επηρεάζει τα έσοδα από τη φορολογία εισοδήματος, ενώ σε μια αυστραλιανή μελέτη φάνηκε ότι τα άτομα με κατάθλιψη που συνταξιοδοτήθηκαν πρόωρα, κέρδιζαν περίπου 78% λιγότερα, σε σύγκριση με τους εργαζόμενους στην ίδια δουλειά (Schofield, Shrestha, Percival et al., 2011; OECD, 2014)</w:t>
      </w:r>
    </w:p>
    <w:p w:rsidR="00000000" w:rsidDel="00000000" w:rsidP="00000000" w:rsidRDefault="00000000" w:rsidRPr="00000000" w14:paraId="0000014B">
      <w:pPr>
        <w:pStyle w:val="Heading2"/>
        <w:spacing w:after="120" w:lineRule="auto"/>
        <w:jc w:val="center"/>
        <w:rPr>
          <w:rFonts w:ascii="Times New Roman" w:cs="Times New Roman" w:eastAsia="Times New Roman" w:hAnsi="Times New Roman"/>
          <w:i w:val="1"/>
          <w:color w:val="000000"/>
          <w:sz w:val="24"/>
          <w:szCs w:val="24"/>
        </w:rPr>
      </w:pPr>
      <w:bookmarkStart w:colFirst="0" w:colLast="0" w:name="_heading=h.1ksv4uv" w:id="15"/>
      <w:bookmarkEnd w:id="15"/>
      <w:r w:rsidDel="00000000" w:rsidR="00000000" w:rsidRPr="00000000">
        <w:rPr>
          <w:rFonts w:ascii="Times New Roman" w:cs="Times New Roman" w:eastAsia="Times New Roman" w:hAnsi="Times New Roman"/>
          <w:i w:val="1"/>
          <w:color w:val="000000"/>
          <w:sz w:val="24"/>
          <w:szCs w:val="24"/>
          <w:rtl w:val="0"/>
        </w:rPr>
        <w:t xml:space="preserve">2.2.3. Ατομικό επίπεδο </w:t>
      </w:r>
    </w:p>
    <w:p w:rsidR="00000000" w:rsidDel="00000000" w:rsidP="00000000" w:rsidRDefault="00000000" w:rsidRPr="00000000" w14:paraId="0000014C">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Οι ψυχικές ασθένειες, αυξάνουν την πιθανότητα ανεργίας, απώλειας εισοδήματος και φτώχειας για τα άτομα. Ορισμένες έρευνες, έχουν δείξει πως υπάρχει μείωση έως και 11% στην πιθανότητα απασχόλησης, ως αποτέλεσμα των ψυχικών διαταραχών (Ettner, Frank &amp; Essler, 1997; Marcotte &amp; Wilcox-Gok, 2003). Τα άτομα με σχιζοφρένεια, εμφανίζουν πολύ υψηλά ποσοστά ανεργίας στις ευρωπαϊκές χώρες, που κυμαίνονται από 65% έως 90%, ενώ περίπου το 38% των πασχόντων, δεν έχουν εργαστεί ποτέ, σε κανένα στάδιο της ζωής τους (Marwaha &amp; Johnson, 2004; Thornicroft, Tansella, Becker et al., 2004). </w:t>
      </w:r>
    </w:p>
    <w:p w:rsidR="00000000" w:rsidDel="00000000" w:rsidP="00000000" w:rsidRDefault="00000000" w:rsidRPr="00000000" w14:paraId="0000014D">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Η ανεργία δεν σχετίζεται μόνο με χαμηλότερες πιθανότητες εύρεσης εργασίας, αλλά και με χαμηλότερες πιθανότητες διατήρησης της εργασίας μετά από ένα επεισόδιο μανίας ή κατάθλιψης. Στην Αυστραλία, μια μελέτη έδειξε ότι μόνο το 21% των ατόμων που έπασχαν από διπολική διαταραχή επέστρεψε στην εργασία του αμέσως μετά την εκδήλωση ενός μανιακού επεισοδίου, ενώ το 34% παρέμεινε ανίκανο να ζήσει ανεξάρτητα. Μεταξύ των ατόμων με διπολική διαταραχή, το 21% είχε κακή προσαρμογή στην εργασία του και το 73% ήταν άνεργοι το προηγούμενο έτος (Waghorn, Chant &amp; Jaeger, 2007). Σε μια άλλη έρευνα σε άτομα που πάσχουν από διπολική διαταραχή στη Χιλή και την Αργεντινή, περίπου το 80% των πασχόντων αντιμετώπιζε οικονομικές δυσκολίες ως αποτέλεσμα της διαταραχής και το 40% των ατόμων ήταν άνεργοι (Strejilevich &amp; Correa, 2007). Στις περιπτώσεις των ατόμων που πάσχουν από σχιζοφρένεια, η κατάσταση είναι ακόμα χειρότερη. Το ποσοστό ανεργίας μεταξύ των ατόμων με σχιζοφρένεια κυμαίνεται μεταξύ 70% και 80% (Marwaha &amp; Johnson ,2004). Σε μια έρευνα με 8.580 άτομα στο Ηνωμένο Βασίλειο, φάνηκε πως υπάρχει μια στενή σχέση μεταξύ του χρέους και του χαμηλού εισοδήματος και των ψυχικών διαταραχών, ειδικά μεταξύ των ατόμων που πάσχουν από σχιζοφρένεια (Jenkins, Bhugra, Bebbington et al., 2008). Σε αυτή τη μελέτη, τα άτομα με σχιζοφρένεια, είχαν τρεις φορές περισσότερες πιθανότητες να έχουν χρέη, σε σύγκριση με τα άτομα χωρίς ψυχικές διαταραχές. Επίσης, όσοι είχαν έξι ή περισσότερα χρέη τον προηγούμενο χρόνο, εμφάνιζαν έξι φορές περισσότερες πιθανότητες να εκδηλώσουν μια ψυχική διαταραχή, σε σύγκριση με τα άτομα που είχαν λιγότερα χρέη. Μια άλλη προοπτική μελέτη, έδειξε ότι η απώλεια εισοδήματος μεταξύ των ατόμων με κατάθλιψη, ήταν δύο φορές υψηλότερη από ό,τι μεταξύ των ατόμων χωρίς κατάθλιψη (Whooley, Kiefe, Chesney et al., 2002).</w:t>
      </w:r>
    </w:p>
    <w:p w:rsidR="00000000" w:rsidDel="00000000" w:rsidP="00000000" w:rsidRDefault="00000000" w:rsidRPr="00000000" w14:paraId="0000014E">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Οι ψυχικές ασθένειες, επηρεάζουν σημαντικά την απόκτηση ακαδημαϊκών δεξιοτήτων ή την ολοκλήρωση ανώτερων εκπαιδευτικών βαθμίδων. Τα παιδιά με ψυχικές διαταραχές, έχουν 17 φορές περισσότερες πιθανότητες να αποκλειστούν από το σχολείο σε σύγκριση με εκείνα που δεν έχουν ψυχικές διαταραχές. Μια έρευνα με 2.500 παιδιά και εφήβους, ηλικίας 5–15 ετών στο Ηνωμένο Βασίλειο, διαπίστωσε ότι το 18% των παιδιών με ψυχικές διαταραχές είχαν αποκλειστεί από το σχολείο, σε σύγκριση με το 1% των παιδιών χωρίς ψυχικές διαταραχές. Επίσης, η πιθανότητα αποτυχίας απόκτησης ακαδημαϊκών προσόντων μεταξύ των εφήβων με ψυχικές διαταραχές, ήταν διπλάσια σε σύγκριση με εκείνη των εφήβων χωρίς ψυχικές διαταραχές (Meltzer, Gatward, Corbin et al., 2013). Οι ψυχώσεις, όπως η σχιζοφρένεια, μπορούν επίσης να ξεκινήσουν από νεαρή ηλικία, επηρεάζοντας μόνιμα τη σχολική επίδοση ή τα ακαδημαϊκά επιτεύγματα των παιδιών. Οι έρευνες έχουν δείξει, ότι οι μαθησιακές δυσκολίες και τα γνωστικά προβλήματα εμφανίζονται κατά μέσο όρο 4 ή 5 χρόνια πριν από την έναρξη της σχιζοφρένειας και τα συμπτώματα της νόσου, ξεκινούν κυρίως μεταξύ 13 και 16 ετών (Fuller, Nopoulos, Arndt et al., 2002). Μετά την εμφάνιση της σχιζοφρένειας, η πλειοψηφία των εφήβων (50–60%) (Hollis, 2000)  εγκαταλείπει το σχολείο και ένα μικρό ποσοστό (&lt;10%) επιτυγχάνει να εισαχθεί στο πανεπιστήμιο (Hanssens, LItalian &amp; Pugner, 2007). Εκτός από τις γνωστικές διαταραχές, τα συμπτώματα της σχιζοφρένειας στις μικρές ηλικίες επηρεάζουν τις κοινωνικές συμπεριφορές των παιδιών, καθώς σχεδόν ένα στα δύο παιδιά, δεν έχουν καμία κοινωνική επαφή με φίλους (Hollis, 2000;  Jarbin, Ott &amp; von Knorring, 2003)</w:t>
      </w:r>
    </w:p>
    <w:p w:rsidR="00000000" w:rsidDel="00000000" w:rsidP="00000000" w:rsidRDefault="00000000" w:rsidRPr="00000000" w14:paraId="0000014F">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Οι ψυχικές ασθένειες, επηρεάζουν επίσης σημαντικά και το οικογενειακό περιβάλλον των πασχόντων. Για παράδειγμα, οι οικογενειακοί φροντιστές επηρεάζονται σημαντικά από την επίδραση που έχει η ανεργία σε ένα μέλος της οικογένειας με ψυχική διαταραχή. Το 29% των δαπανών που σχετίζονται με τη σχιζοφρένεια σχετίζονται στενά με την ανεργία και τις απώλειες ευκαιριών λόγω του χρονικού διαστήματος φροντίδας των ατόμων με σχιζοφρένεια, από το οικογενειακό τους περιβάλλον (Tarricone, Gerzeli, Montanelli et al., 2000). Ομοίως, σε χώρες χαμηλού και μεσαίου εισοδήματος, μεταξύ 18% και 41% των οικογενειακών φροντιστών μελών της οικογένειας με άνοια, έχουν μειωμένο χρόνο εργασίας ή έχουν εγκαταλείψει την εργασία τους (Allegri, Butman, Arizaga et al., 2007).  Η φροντίδα των ασθενών με ψύχωση από τις οικογένειές τους, έχει επίσης πολύ σημαντικό οικονομικό κόστος, το οποίο μπορεί να ανέρχεται πάνω από το 30% του μηνιαίου εισοδήματός των φροντιστών (Opoku-Boateng, Kretchy, Aryeetey et al., 2017).</w:t>
      </w:r>
    </w:p>
    <w:p w:rsidR="00000000" w:rsidDel="00000000" w:rsidP="00000000" w:rsidRDefault="00000000" w:rsidRPr="00000000" w14:paraId="00000150">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Το στίγμα, η καταπάτηση των ανθρωπίνων δικαιωμάτων και ο κοινωνικός αποκλεισμός, αποτελούν επίσης σημαντικά προβλήματα για τα άτομα με ψυχικές διαταραχές. Οι ψυχικές ασθένειες, μπορούν να συμβάλουν στον κοινωνικό αποκλεισμό ως συνέπεια των δυσκολιών εύρεσης ή διατήρησης της εργασίας, της μειωμένης κοινωνικής συμμετοχής και του στίγματος.  Αν και η σχέση μεταξύ της ανισότητας και των ψυχικών διαταραχών είναι περίπλοκη, το στίγμα και η έλλειψη κατάλληλης θεραπείας είναι σημαντικοί παράγοντες για τον κοινωνικό αποκλεισμό των ατόμων με ψυχικές διαταραχές (Thornicroft, Rose &amp; Mehta, 2010; Wahlbeck &amp; McDaid, 2012). Το στίγμα εμποδίζει σε σημαντικό βαθμό την κοινωνική συμμετοχή και τις ευκαιρίες απασχόλησης (Brouwers, 2020; van Beukering, Smits, Janssenset al., 2021). Για παράδειγμα, μερικοί άνθρωποι αποφεύγουν να προσφέρουν θέσεις εργασίας ή ακόμα και να νοικιάσουν το σπίτι τους σε άτομα με ψυχικές διαταραχές. Επειδή οι ψυχικές διαταραχές προκαλούν συχνά κοινωνικά απαράδεκτες συμπεριφορές, όπως συμβαίνει για παράδειγμα κατά τη διάρκεια ενός ψυχωσικού επεισοδίου, υπάρχει μια εσφαλμένη αντίληψη ότι τα άτομα με ψυχικές διαταραχές είναι επικίνδυνα για το κοινωνικό σύνολο</w:t>
      </w:r>
      <w:r w:rsidDel="00000000" w:rsidR="00000000" w:rsidRPr="00000000">
        <w:rPr>
          <w:vertAlign w:val="superscript"/>
        </w:rPr>
        <w:footnoteReference w:customMarkFollows="0" w:id="2"/>
      </w:r>
      <w:r w:rsidDel="00000000" w:rsidR="00000000" w:rsidRPr="00000000">
        <w:rPr>
          <w:rFonts w:ascii="Times New Roman" w:cs="Times New Roman" w:eastAsia="Times New Roman" w:hAnsi="Times New Roman"/>
          <w:sz w:val="24"/>
          <w:szCs w:val="24"/>
          <w:rtl w:val="0"/>
        </w:rPr>
        <w:t xml:space="preserve">. Από την άλλη πλευρά, τα άτομα με ψυχικές διαταραχές στερούνται συχνά επαρκούς υποστήριξης, για να ξεπεράσουν τα προβλήματα που προκύπτουν εξαιτίας της ασθένειας και για να ασκήσουν τους κοινωνικούς τους ρόλους. Ο συνδυασμός της αναπηρίας και της απώλειας κοινωνικών και οικονομικών ευκαιριών, οδηγεί σταδιακά τα άτομα αυτά σε κοινωνική απομόνωση καθώς και μειωμένη αυτοεκτίμηση και αυτοπεποίθηση, με αποτέλεσμα να έχουν περισσότερες πιθανότητες φτωχοποίησης. Το στίγμα και οι διακρίσεις κατά της ψυχικής ασθένειας, ενισχύουν τον φαύλο κύκλο της φτώχειας, της ανισότητας και του κοινωνικού αποκλεισμού. </w:t>
      </w:r>
    </w:p>
    <w:p w:rsidR="00000000" w:rsidDel="00000000" w:rsidP="00000000" w:rsidRDefault="00000000" w:rsidRPr="00000000" w14:paraId="00000151">
      <w:pPr>
        <w:ind w:firstLine="72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Ένα άλλο σημαντικό πρόβλημα, είναι το μειωμένο προσδόκιμο ζωής.</w:t>
      </w:r>
      <w:r w:rsidDel="00000000" w:rsidR="00000000" w:rsidRPr="00000000">
        <w:rPr>
          <w:rFonts w:ascii="Times New Roman" w:cs="Times New Roman" w:eastAsia="Times New Roman" w:hAnsi="Times New Roman"/>
          <w:sz w:val="24"/>
          <w:szCs w:val="24"/>
          <w:highlight w:val="white"/>
          <w:rtl w:val="0"/>
        </w:rPr>
        <w:t xml:space="preserve"> Τα άτομα με σοβαρές ψυχικές ασθένειες όπως είναι η σχιζοφρένεια ή η διπολική διαταραχή, έχουν σημαντικά μειωμένο προσδόκιμο ζωής σε σύγκριση με τον γενικό πληθυσμό (</w:t>
      </w:r>
      <w:r w:rsidDel="00000000" w:rsidR="00000000" w:rsidRPr="00000000">
        <w:rPr>
          <w:rFonts w:ascii="Times New Roman" w:cs="Times New Roman" w:eastAsia="Times New Roman" w:hAnsi="Times New Roman"/>
          <w:sz w:val="24"/>
          <w:szCs w:val="24"/>
          <w:rtl w:val="0"/>
        </w:rPr>
        <w:t xml:space="preserve">Chesney, Goodwin &amp; Fazel, 2014). Μεγάλο μέρος αυτής της μείωσης, αποδίδεται στον κίνδυνο καρδιαγγειακής νοσηρότητας και θνησιμότητας</w:t>
      </w:r>
      <w:r w:rsidDel="00000000" w:rsidR="00000000" w:rsidRPr="00000000">
        <w:rPr>
          <w:rtl w:val="0"/>
        </w:rPr>
        <w:t xml:space="preserve"> </w:t>
      </w:r>
      <w:r w:rsidDel="00000000" w:rsidR="00000000" w:rsidRPr="00000000">
        <w:rPr>
          <w:rFonts w:ascii="Times New Roman" w:cs="Times New Roman" w:eastAsia="Times New Roman" w:hAnsi="Times New Roman"/>
          <w:sz w:val="24"/>
          <w:szCs w:val="24"/>
          <w:rtl w:val="0"/>
        </w:rPr>
        <w:t xml:space="preserve">που είναι 2-3 φορές μεγαλύτερος σε σχέση με τον γενικό πληθυσμό και τον επιπολασμό των καρδιαγγειακών νόσων, που είναι έως και 3,6 φορές μεγαλύτερος σε άτομα με σοβαρές ψυχικές παθήσεις</w:t>
      </w:r>
      <w:r w:rsidDel="00000000" w:rsidR="00000000" w:rsidRPr="00000000">
        <w:rPr>
          <w:rFonts w:ascii="Times New Roman" w:cs="Times New Roman" w:eastAsia="Times New Roman" w:hAnsi="Times New Roman"/>
          <w:sz w:val="24"/>
          <w:szCs w:val="24"/>
          <w:highlight w:val="white"/>
          <w:rtl w:val="0"/>
        </w:rPr>
        <w:t xml:space="preserve">. </w:t>
      </w:r>
      <w:r w:rsidDel="00000000" w:rsidR="00000000" w:rsidRPr="00000000">
        <w:rPr>
          <w:rFonts w:ascii="Times New Roman" w:cs="Times New Roman" w:eastAsia="Times New Roman" w:hAnsi="Times New Roman"/>
          <w:sz w:val="24"/>
          <w:szCs w:val="24"/>
          <w:rtl w:val="0"/>
        </w:rPr>
        <w:t xml:space="preserve">Σχετικά πρόσφατες μετα-αναλύσεις, δείχνουν ότι περίπου ένας στους τρεις ανθρώπους με σοβαρή ψυχική ασθένεια έχει μεταβολικό σύνδρομο και ένας στους δέκα έχει διαβήτη τύπου 2 </w:t>
      </w:r>
      <w:r w:rsidDel="00000000" w:rsidR="00000000" w:rsidRPr="00000000">
        <w:rPr>
          <w:rFonts w:ascii="Times New Roman" w:cs="Times New Roman" w:eastAsia="Times New Roman" w:hAnsi="Times New Roman"/>
          <w:sz w:val="24"/>
          <w:szCs w:val="24"/>
          <w:highlight w:val="white"/>
          <w:rtl w:val="0"/>
        </w:rPr>
        <w:t xml:space="preserve">(Vancampfort, Stubbs, Mitchell et al., 2015)</w:t>
      </w:r>
    </w:p>
    <w:p w:rsidR="00000000" w:rsidDel="00000000" w:rsidP="00000000" w:rsidRDefault="00000000" w:rsidRPr="00000000" w14:paraId="00000152">
      <w:pPr>
        <w:spacing w:after="20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Παρά το γεγονός ότι το έμμεσο κόστος είναι ένα ευρύτερο μέτρο από το άμεσο κόστος, σπάνια υπολογίζεται στις οικονομικές αξιολογήσεις, επειδή η πλειονότητα των ερευνών εστιάζει στα κόστη που έχουν οι πάροχοι των υπηρεσιών υγείας. Γι’αυτό το λόγο, είναι πιθανό να υποτιμώνται τα ενδεχόμενα αποτελέσματα των παρεμβάσεων για την ψυχική υγεία, οι οποίες μπορούν να αντιμετωπίσουν τις έμμεσες αυτές επιπτώσεις (Krol, Papenburg, Koopmanschap et al., 2011).</w:t>
      </w:r>
    </w:p>
    <w:p w:rsidR="00000000" w:rsidDel="00000000" w:rsidP="00000000" w:rsidRDefault="00000000" w:rsidRPr="00000000" w14:paraId="00000153">
      <w:pPr>
        <w:pStyle w:val="Heading1"/>
        <w:jc w:val="center"/>
        <w:rPr>
          <w:rFonts w:ascii="Times New Roman" w:cs="Times New Roman" w:eastAsia="Times New Roman" w:hAnsi="Times New Roman"/>
          <w:color w:val="000000"/>
        </w:rPr>
      </w:pPr>
      <w:bookmarkStart w:colFirst="0" w:colLast="0" w:name="_heading=h.44sinio" w:id="16"/>
      <w:bookmarkEnd w:id="16"/>
      <w:r w:rsidDel="00000000" w:rsidR="00000000" w:rsidRPr="00000000">
        <w:rPr>
          <w:rFonts w:ascii="Times New Roman" w:cs="Times New Roman" w:eastAsia="Times New Roman" w:hAnsi="Times New Roman"/>
          <w:color w:val="000000"/>
          <w:rtl w:val="0"/>
        </w:rPr>
        <w:t xml:space="preserve">2.3. Έμμεσο κόστος και επιβάρυνση των διαταραχών χρήσης ουσιών και αλκοόλ</w:t>
      </w:r>
    </w:p>
    <w:p w:rsidR="00000000" w:rsidDel="00000000" w:rsidP="00000000" w:rsidRDefault="00000000" w:rsidRPr="00000000" w14:paraId="00000154">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Το 2010, οι ψυχικές διαταραχές και οι διαταραχές χρήσης ουσιών αντιπροσώπευαν 183,9 εκατομμύρια σταθμισμένα ως προς την αναπηρία έτη ζωής (DALY), ή το 7,4% όλων των σταθμισμένων ως προς την αναπηρία ετών ζωής παγκοσμίως (Whiteford et al., 2013). Από το 7,4% των σταθμισμένων ως προς την αναπηρία ετών ζωής που αποδίδονται στις ψυχικές διαταραχές και τις διαταραχές χρήσης ουσιών, οι διαταραχές χρήσης ουσιών αντιπροσώπευαν το 10,9% και οι διαταραχές χρήσης αλκοόλ, το 9,6%. Περίπου 21,5 εκατομμύρια άνθρωποι, ηλικίας 12 ετών και άνω το 2014, έπασχαν από διαταραχές χρήσης ουσιών, εκ των οποίων τα 17 εκατομμύρια από διαταραχή χρήσης αλκοόλ, τα 7,1 εκατομμύρια από διαταραχή χρήσης ουσιών και τα 2,6 εκατομμύρια και από τις δύο διαταραχές (WHO, 2016). Η κατάχρηση του αλκοόλ και των ναρκωτικών, επηρεάζει τόσο το άτομο, όσο και την κοινωνία μέσω των δυσμενών επιπτώσεών τους στην υγεία και την ευημερία του ατόμου. Έχει πολύ σημαντική επιβάρυνση παγκοσμίως, ειδικά λόγω του έμμεσου κόστους από τις εργασιακές απουσίες και την πρόωρη θνητότητα, τόσο των πασχόντων, όσο και τρίτων, εξαιτίας των τροχαίων ατυχημάτων που αποτελούν την ένατη κύρια αιτία θανάτου παγκοσμίως (WHO, 2016;</w:t>
      </w:r>
      <w:r w:rsidDel="00000000" w:rsidR="00000000" w:rsidRPr="00000000">
        <w:rPr>
          <w:rtl w:val="0"/>
        </w:rPr>
        <w:t xml:space="preserve"> </w:t>
      </w:r>
      <w:r w:rsidDel="00000000" w:rsidR="00000000" w:rsidRPr="00000000">
        <w:rPr>
          <w:rFonts w:ascii="Times New Roman" w:cs="Times New Roman" w:eastAsia="Times New Roman" w:hAnsi="Times New Roman"/>
          <w:sz w:val="24"/>
          <w:szCs w:val="24"/>
          <w:rtl w:val="0"/>
        </w:rPr>
        <w:t xml:space="preserve">McLellan, 2017). Οι διαταραχές που σχετίζονται με το αλκοόλ και τα ναρκωτικά έχουν τεράστια επιβάρυνση για την κοινωνία κυρίως λόγω του έμμεσου κόστους και αποτελούν μείζον πρόβλημα δημόσιας υγείας. Πέρα από τη βλάβη στο ίδιο το άτομο, οδηγούν και σε βλάβες σε τρίτους, ειδικά μέσω της βίας που σχετίζεται με τη χρήση ουσιών ή αλκοόλ (McLellan, 2017). </w:t>
      </w:r>
    </w:p>
    <w:p w:rsidR="00000000" w:rsidDel="00000000" w:rsidP="00000000" w:rsidRDefault="00000000" w:rsidRPr="00000000" w14:paraId="00000155">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Οι διαταραχές που σχετίζονται με το αλκοόλ και τα ναρκωτικά είναι επιβλαβείς και στο εργασιακό πλαίσιο, καθώς επηρεάζουν την απόδοση και την ασφάλεια των εργαζομένων, μέσω της χρήσης που συμβαίνει πριν από την εργασία όσο και κατά τη διάρκεια μεταφοράς του ατόμου προς την εργασία του</w:t>
      </w:r>
      <w:r w:rsidDel="00000000" w:rsidR="00000000" w:rsidRPr="00000000">
        <w:rPr>
          <w:rtl w:val="0"/>
        </w:rPr>
        <w:t xml:space="preserve"> (</w:t>
      </w:r>
      <w:r w:rsidDel="00000000" w:rsidR="00000000" w:rsidRPr="00000000">
        <w:rPr>
          <w:rFonts w:ascii="Times New Roman" w:cs="Times New Roman" w:eastAsia="Times New Roman" w:hAnsi="Times New Roman"/>
          <w:sz w:val="24"/>
          <w:szCs w:val="24"/>
          <w:rtl w:val="0"/>
        </w:rPr>
        <w:t xml:space="preserve">McLellan, 2017). Η επίδραση αυτών των ουσιών, μπορεί να βλάψει είτε τους εργαζόμενους, είτε τρίτα μέρη. Πολλές από αυτές τις απώλειες συνεπάγονται προσωρινή ή μόνιμη άδεια από την εργασία, μειωμένο φόρτο εργασίας και απόδοση και αναγκαία αλλαγή εργασιακού πόστου, δημιουργώντας ένα σημαντικό κοινωνικό βάρος, εάν λάβουμε υπόψη μας την απώλεια παραγωγικότητας και το άυλο κόστος που σχετίζεται με την ποιότητα ζωής των εργαζομένων και την απώλεια ζωών. Η θνησιμότητα και η πρόωρη θνησιμότητα, αποτελούν τις πιο κοινές συνιστώσες του έμμεσου κόστους που χρησιμοποιούνται στις μελέτες κόστους, σχετικά με τις διαταραχές που σχετίζονται με το αλκοόλ και τα ναρκωτικά (Mohapatra, Patra, Popova et al., 2010). Το 2010, οι διαταραχές χρήσης ουσιών ήταν άμεσα υπεύθυνες για 8,6 εκατομμύρια έτη απώλειας ζωής, που ισοδυναμεί με 232.000 θανάτους. Σχεδόν όλοι αυτοί οι θάνατοι, αποδίδονταν σε διαταραχές χρήσης ουσιών (Whiteford et al., 2013). Υπολογίζεται ότι το συνολικό κόστος θνησιμότητας των χρηστών οπιοειδών στις Ηνωμένες Πολιτείες είναι 18 δισεκατομμύρια δολάρια ετησίως, με 4,1 δισεκατομμύρια δολάρια να αποδίδονται στην ηρωίνη και 13,9 δισεκατομμύρια δολάρια στα συνταγογραφούμενα οπιοειδή. Η οξυκωδόνη, η μεθαδόνη και η υδροκωδόνη, εκτιμήθηκε ότι έχουν το υψηλότερο συνολικό κόστος θνησιμότητας, που ανέρχεται στα 6,4 δισεκατομμύρια δολάρια, στα 4,9 δισεκατομμύρια δολάρια και στα 3,2 δισεκατομμύρια δολάρια, αντίστοιχα (Inocencio, Carroll, Read et al., 2013).  Έχει διαπιστωθεί ότι η κατανάλωση αλκοόλ έχει μια αιτιώδη σχέση με διάφορες ασθένειες που οδηγούν σε αυξημένα ποσοστά νοσηρότητας και θνησιμότητας. Υπολογίζεται ότι περισσότεροι από 2 εκατομμύρια θάνατοι παγκοσμίως οφείλονται στην κατανάλωση αλκοόλ (Iranpour &amp; Nakhaee, 2019).</w:t>
      </w:r>
    </w:p>
    <w:p w:rsidR="00000000" w:rsidDel="00000000" w:rsidP="00000000" w:rsidRDefault="00000000" w:rsidRPr="00000000" w14:paraId="00000156">
      <w:pPr>
        <w:pStyle w:val="Heading1"/>
        <w:jc w:val="center"/>
        <w:rPr>
          <w:rFonts w:ascii="Times New Roman" w:cs="Times New Roman" w:eastAsia="Times New Roman" w:hAnsi="Times New Roman"/>
          <w:color w:val="000000"/>
        </w:rPr>
      </w:pPr>
      <w:bookmarkStart w:colFirst="0" w:colLast="0" w:name="_heading=h.2jxsxqh" w:id="17"/>
      <w:bookmarkEnd w:id="17"/>
      <w:r w:rsidDel="00000000" w:rsidR="00000000" w:rsidRPr="00000000">
        <w:rPr>
          <w:rFonts w:ascii="Times New Roman" w:cs="Times New Roman" w:eastAsia="Times New Roman" w:hAnsi="Times New Roman"/>
          <w:color w:val="000000"/>
          <w:rtl w:val="0"/>
        </w:rPr>
        <w:t xml:space="preserve">2.4. Το οικονομικό κόστος του στίγματος για την ψυχική υγεία</w:t>
      </w:r>
    </w:p>
    <w:p w:rsidR="00000000" w:rsidDel="00000000" w:rsidP="00000000" w:rsidRDefault="00000000" w:rsidRPr="00000000" w14:paraId="00000157">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Η ψυχική ασθένεια επηρεάζει τους πάσχοντες σε πολλά επίπεδα και πολλά άτομα με προβλήματα ψυχικής υγείας βρίσκονται σε μειονεκτική θέση, ως αποτέλεσμα του στίγματος που συνοδεύει την ψυχική ασθένεια. Το στίγμα, έχει συχνά σημαντικές επιπτώσεις σε πολλούς τομείς της ζωής, όπως είναι ο γάμος, η ανατροφή των παιδιών, η στέγαση, οι θρησκευτικές δραστηριότητες, η πρόσβαση σε θεραπεία και περίθαλψη, η συμπεριφορά αναζήτησης βοήθειας και η θνησιμότητα (Van Brakel, 2006).</w:t>
      </w:r>
    </w:p>
    <w:p w:rsidR="00000000" w:rsidDel="00000000" w:rsidP="00000000" w:rsidRDefault="00000000" w:rsidRPr="00000000" w14:paraId="00000158">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Τα ποσοστά απασχόλησης, χρησιμεύουν ως ένα μέτρο «οικονομικής υγείας» στους πληθυσμούς με ψυχικές ασθένειες, καθώς αποτελούν ένα δείκτη αξιολόγησης της αυτοδιάθεσης, της επιλογής, του ελέγχου, της ανεξαρτησίας και της διεύρυνσης των κοινωνικών συνδέσεων και των σχέσεων. Υπάρχουν διάφοροι παράγοντες που μπορούν να εξηγήσουν τους λόγους πίσω από τα ποσοστά απασχόλησης που παρατηρούνται στον πληθυσμό των ατόμων με προβλήματα ψυχικής υγείας,  μεταξύ των οποίων είναι και οι αρνητικές πεποιθήσεις που έχουν, τόσο οι εργοδότες, όσο και οι εργαζόμενοι (Khalema &amp; Shankar, 2014).  Ωστόσο, τα άτομα με ψυχική ασθένεια είναι ικανά να εργαστούν σε κατάλληλα δομημένα περιβάλλοντα και συχνά θέλουν να εργαστούν. Οι άνθρωποι με ψυχικά προβλήματα που εργάζονται, αναφέρουν ότι αισθάνονται κοινωνικά απομονωμένοι, έχουν να αντιμετωπίσουν αρνητικά σχόλια και τους ανατίθενται λιγότερες ευθύνες μόλις γίνει γνωστή η ασθένειά τους (Stuart, 2006; </w:t>
      </w:r>
      <w:r w:rsidDel="00000000" w:rsidR="00000000" w:rsidRPr="00000000">
        <w:rPr>
          <w:rFonts w:ascii="Times New Roman" w:cs="Times New Roman" w:eastAsia="Times New Roman" w:hAnsi="Times New Roman"/>
          <w:sz w:val="24"/>
          <w:szCs w:val="24"/>
          <w:highlight w:val="white"/>
          <w:rtl w:val="0"/>
        </w:rPr>
        <w:t xml:space="preserve">Nirmala, Roy, Naik et al., 2020</w:t>
      </w:r>
      <w:r w:rsidDel="00000000" w:rsidR="00000000" w:rsidRPr="00000000">
        <w:rPr>
          <w:rFonts w:ascii="Times New Roman" w:cs="Times New Roman" w:eastAsia="Times New Roman" w:hAnsi="Times New Roman"/>
          <w:sz w:val="24"/>
          <w:szCs w:val="24"/>
          <w:rtl w:val="0"/>
        </w:rPr>
        <w:t xml:space="preserve">). Η σύγκλιση των επιπτώσεων της απασχόλησης και του στιγματισμού, μπορεί να μεγεθυνθεί περαιτέρω για όσους πάσχουν από μια ψυχική ασθένεια σε περιόδους οικονομικής δυσπραγίας ή κρίσης. Μια έρευνα σε 27 χώρες της Ευρωπαϊκής Ένωσης, διαπίστωσε ότι τα άτομα με ψυχολογικά προβλήματα ήταν πιο ευάλωτα στην ανεργία, σε χώρες με πιο στιγματιστικές απόψεις για την ψυχική ασθένεια (Evans-Lacko, Knapp, McCrone et al., 2013). Αυτή η σχέση, είναι αρκετά σημαντική σε ένα αβέβαιο οικονομικό κλίμα, καθώς η εύρεση εργασίας χωρίς την κατάλληλη υποστήριξη, μπορεί να αποτελεί μείζονα πρόκληση για τους ανθρώπους αυτούς. Σύμφωνα με τα στοιχεία που αναφέρθηκαν σε προηγούμενη ενότητα, οι συνθήκες εργασίας και οι μακροοικονομικές συνθήκες, έχουν σημαντικές επιπτώσεις στην ικανότητα εργασίας ενός ατόμου με ψυχική ασθένεια. Η εργασία, διαδραματίζει έναν ουσιαστικό ρόλο στη ζωή του ανθρώπου, καθώς του παρέχει το απαραίτητο εισόδημα, ώστε να καλύπτει τις ανάγκες του. Δεδομένων των δυσκολιών που αντιμετωπίζουν τα άτομα με ψυχικές ασθένειες και συνακόλουθου στιγματισμού τους, είναι πιο πιθανό να οδηγηθούν στη φτωχοποίηση. </w:t>
      </w:r>
    </w:p>
    <w:p w:rsidR="00000000" w:rsidDel="00000000" w:rsidP="00000000" w:rsidRDefault="00000000" w:rsidRPr="00000000" w14:paraId="00000159">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Το στίγμα μπορεί επίσης να είναι ένας σημαντικός παράγοντας που εμποδίζει την αναζήτηση βοήθειας και συχνά λειτουργεί ως εμπόδιο για την ανάρρωση των ατόμων από τις ψυχικές ασθένειες. Η αναζήτηση βοήθειας, αφορά στη διερεύνηση από την πλευρά ενός ατόμου ενός πλαισίου φροντίδας και την ένταξή του σε αυτό, ενώ μπορεί να παρέχεται από επίσημους ή ανεπίσημους φορείς (Kovandžić, Chew-Graham, Reeve et al., 2011). Όταν ένα άτομο ζητά βοήθεια από τις επίσημες υπηρεσίες, έρχεται σε επαφή με τους παρόχους πρωτοβάθμιας, δευτεροβάθμιας ή τριτοβάθμιας φροντίδας. Τα άτομα με ψυχικές διαταραχές ή με διαταραχές χρήσης ουσιών, μπορεί να κρύβουν την ασθένειά τους ή την κατάχρηση ουσιών αντίστοιχα, για να αποφύγουν το στίγμα, γεγονός που τους εμποδίζει συχνά να αναζητήσουν επαγγελματική φροντίδα και θεραπεία (Ahern, Stuber &amp; Galea, 2007; Aromaa, Tolvanen, Tuulari et al., 2011). Για παράδειγμα, τα στερεότυπα που υπάρχουν για τις θεραπευτικές υπηρεσίες για τη χρήση ουσιών, μπορούν να μειώσουν την πιθανότητα να ζητήσει κάποιος βοήθεια από αυτές τις υπηρεσίες (Keyes, Hatzenbuehler, McLaughlin et al., 2010). Οι Clement και συνεργάτες (2015), πραγματοποίησαν μια βιβλιογραφική ανασκόπηση για να διερευνήσουν τη γενικότερη επίδραση του στίγματος που σχετίζεται με την αναζήτηση βοήθειας για τα προβλήματα ψυχικής υγείας. Οι ερευνητές, διαπίστωσαν ότι κατά τη μέτρηση της ισχύος της σχέσης μεταξύ διαφορετικών τύπων στίγματος και αναζήτησης βοήθειας, το εσωτερικευμένο στίγμα και το στίγμα που σχετίζεται με την αναζήτηση ή τη λήψη θεραπείας για τα προβλήματα ψυχικής υγείας, έχει πάντα αρνητική συσχέτιση με την αναζήτηση βοήθειας.  </w:t>
      </w:r>
    </w:p>
    <w:p w:rsidR="00000000" w:rsidDel="00000000" w:rsidP="00000000" w:rsidRDefault="00000000" w:rsidRPr="00000000" w14:paraId="0000015A">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Η στιγματοποίηση των ατόμων με προβλήματα ψυχικής υγείας, έχει σαφώς σημαντικές οικονομικές επιπτώσεις στην απασχόληση, το εισόδημα και τη συμπεριφορά αναζήτησης βοήθειας ενός ατόμου, γεγονός που οδηγεί σε μια μόνιμη και συνεχή κοινωνική και οικονομική μειονεξία. Ωστόσο, υπάρχουν συχνά και ουσιαστικές οικονομικές συνέπειες για τις οικογένειες των πασχόντων, οι οποίες στην πλειοψηφία των περιπτώσεων, αποτελούν το κυριότερο άτυπο μέσο υποστήριξης και συχνά παραβλέπονται (Girma, Möller-Leimkühler, Müller et al., 2014; </w:t>
      </w:r>
      <w:r w:rsidDel="00000000" w:rsidR="00000000" w:rsidRPr="00000000">
        <w:rPr>
          <w:rFonts w:ascii="Times New Roman" w:cs="Times New Roman" w:eastAsia="Times New Roman" w:hAnsi="Times New Roman"/>
          <w:sz w:val="24"/>
          <w:szCs w:val="24"/>
          <w:highlight w:val="white"/>
          <w:rtl w:val="0"/>
        </w:rPr>
        <w:t xml:space="preserve">Javed, Lee, Zakaria et al., 2021). </w:t>
      </w:r>
      <w:r w:rsidDel="00000000" w:rsidR="00000000" w:rsidRPr="00000000">
        <w:rPr>
          <w:rFonts w:ascii="Times New Roman" w:cs="Times New Roman" w:eastAsia="Times New Roman" w:hAnsi="Times New Roman"/>
          <w:sz w:val="24"/>
          <w:szCs w:val="24"/>
          <w:rtl w:val="0"/>
        </w:rPr>
        <w:t xml:space="preserve">Οι οικογένειες των ατόμων που βιώνουν το στίγμα, μπορεί να πάρουν άδεια από την εργασία τους, να την εγκαταλείψουν ή να πρέπει να διαθέτουν όλο τον ελεύθερο χρόνο τους, για να παράσχουν υποστήριξη ή μπορεί να επιβαρύνονται με τα έξοδα θεραπείας. Η παράβλεψη αυτών των οικονομικών επιπτώσεων, είναι αρκετά σοβαρή, δεδομένου ότι πολλά άτομα με ψυχικά προβλήματα, βασίζονται στις οικογένειες τους και τους φίλους τους για υποστήριξη. Σε κοινωνικό επίπεδο, η αύξηση της απουσίας από την εργασία και η πρόωρη συνταξιοδότηση ως αποτέλεσμα του στιγματισμού ενός συγγενικού προσώπου, θα μπορούσαν ενδεχομένως να οδηγήσουν σε απώλεια παραγωγικότητας, αν και δεν έχει δοθεί προσοχή στη βιβλιογραφία στο συγκεκριμένο ζήτημα. Επιπλέον, αν και πολλές οικονομικές μελέτες παρέχουν στοιχεία για το προσωπικό και κοινωνικό κόστος που επιβαρύνει τις οικογένειες και τους φίλους των ατόμων με ψυχικές ασθένειες, καμία μελέτη δεν έχει υπολογίσει το κόστος που οφείλεται στο στίγμα των φροντιστών των ατόμων με προβλήματα ψυχικής υγείας.</w:t>
      </w:r>
    </w:p>
    <w:p w:rsidR="00000000" w:rsidDel="00000000" w:rsidP="00000000" w:rsidRDefault="00000000" w:rsidRPr="00000000" w14:paraId="0000015B">
      <w:pPr>
        <w:pStyle w:val="Heading1"/>
        <w:spacing w:before="120" w:lineRule="auto"/>
        <w:jc w:val="center"/>
        <w:rPr>
          <w:rFonts w:ascii="Times New Roman" w:cs="Times New Roman" w:eastAsia="Times New Roman" w:hAnsi="Times New Roman"/>
          <w:color w:val="000000"/>
        </w:rPr>
      </w:pPr>
      <w:bookmarkStart w:colFirst="0" w:colLast="0" w:name="_heading=h.z337ya" w:id="18"/>
      <w:bookmarkEnd w:id="18"/>
      <w:r w:rsidDel="00000000" w:rsidR="00000000" w:rsidRPr="00000000">
        <w:rPr>
          <w:rFonts w:ascii="Times New Roman" w:cs="Times New Roman" w:eastAsia="Times New Roman" w:hAnsi="Times New Roman"/>
          <w:color w:val="000000"/>
          <w:rtl w:val="0"/>
        </w:rPr>
        <w:t xml:space="preserve">2.5. Το σύστημα Ψυχικής Υγείας στην Ελλάδα</w:t>
      </w:r>
    </w:p>
    <w:p w:rsidR="00000000" w:rsidDel="00000000" w:rsidP="00000000" w:rsidRDefault="00000000" w:rsidRPr="00000000" w14:paraId="0000015C">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Το σύστημα ψυχικής υγείας στην Ελλάδα, χαρακτηριζόταν παραδοσιακά από ένα μοντέλο ενδονοσοκομειακής περίθαλψης σε μεγάλα δημόσια ιδρύματα ή άσυλα, έως το 1983</w:t>
      </w:r>
      <w:r w:rsidDel="00000000" w:rsidR="00000000" w:rsidRPr="00000000">
        <w:rPr>
          <w:rtl w:val="0"/>
        </w:rPr>
        <w:t xml:space="preserve"> (</w:t>
      </w:r>
      <w:r w:rsidDel="00000000" w:rsidR="00000000" w:rsidRPr="00000000">
        <w:rPr>
          <w:rFonts w:ascii="Times New Roman" w:cs="Times New Roman" w:eastAsia="Times New Roman" w:hAnsi="Times New Roman"/>
          <w:sz w:val="24"/>
          <w:szCs w:val="24"/>
          <w:rtl w:val="0"/>
        </w:rPr>
        <w:t xml:space="preserve">Madianos, 2020). Το πρώτο ψυχιατρείο της χώρας ιδρύθηκε το 1834 στην Κέρκυρα, ενώ τρεις δεκαετίες αργότερα, το 1862 ψηφίστηκε η πρώτη νομοθεσία για την ψυχική υγεία και το 1887, ιδρύεται το Δρομοκαΐτειο Ψυχιατρείο. Όλες αυτές οι δομές, εξυπηρετούσαν ασθενείς που έπασχαν κυρίως από ψυχώσεις και οργανικά εγκεφαλικά σύνδρομα, ενώ στις επόμενες δεκαετίες, λόγω της αστικοποίησης και των βαθιών κοινωνικοοικονομικών και πολιτικών αλλαγών, ο πληθυσμός των ασθενών αυξήθηκε δραματικά (Madianos, 2020).</w:t>
      </w:r>
      <w:r w:rsidDel="00000000" w:rsidR="00000000" w:rsidRPr="00000000">
        <w:rPr>
          <w:rtl w:val="0"/>
        </w:rPr>
        <w:t xml:space="preserve"> </w:t>
      </w:r>
      <w:r w:rsidDel="00000000" w:rsidR="00000000" w:rsidRPr="00000000">
        <w:rPr>
          <w:rFonts w:ascii="Times New Roman" w:cs="Times New Roman" w:eastAsia="Times New Roman" w:hAnsi="Times New Roman"/>
          <w:sz w:val="24"/>
          <w:szCs w:val="24"/>
          <w:rtl w:val="0"/>
        </w:rPr>
        <w:t xml:space="preserve">Το σύστημα ψυχικής υγείας στις αρχές της δεκαετίας του 1980, χαρακτηριζόταν κυρίως από τη συγκέντρωση των ψυχιατρικών υπηρεσιών στα νοσοκομεία και την πλήρη απουσία κοινοτικών ή εξωνοσοκομειακών υπηρεσιών, που είχαν ήδη αρχίσει να αναπτύσσονται σε χώρες της Ευρώπης. Η πλειονότητα των ασθενών νοσηλεύονταν για χρόνια σε ψυχιατρικές δομές, ενώ οι υπηρεσίες ήταν κακής ποιότητας και το σύστημα ψυχικής υγειονομικής περίθαλψης ανεπαρκές. Η παρέμβαση της Ευρωπαϊκής Οικονομικής Κοινότητας (ΕΟΚ) το 1984 σηματοδότησε μια μεταβατική περίοδο (1984–1989), με στόχο τον μετασχηματισμό του συστήματος ψυχικής υγείας, με εστίαση στην κοινοτική ψυχιατρική (Economou, Kaitelidou, Karanikolos &amp; Maresso, 2017). </w:t>
      </w:r>
    </w:p>
    <w:p w:rsidR="00000000" w:rsidDel="00000000" w:rsidP="00000000" w:rsidRDefault="00000000" w:rsidRPr="00000000" w14:paraId="0000015D">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Η μεταρρύθμιση πραγματοποιήθηκε σε δύο φάσεις, με τα Προγράμματα Ψυχαργώς Ι και Ψυχαργός ΙΙ (Giannakopoulos &amp; Anagnostopoulos, 2016). Οι στόχοι του πρώτου προγράμματος, την περίοδο 1997-2000, ήταν κυρίως η αποϊδρυματοποίηση των μακροχρόνιων εσωτερικών ασθενών, το κλείσιμο των δημόσιων ψυχιατρείων και η δημιουργία νομοθεσίας για την ψυχική υγεία που θα διασφάλιζε την τομεακοποίηση του συστήματος ψυχικής υγείας, την περαιτέρω ανάπτυξη της ψυχικής υγείας με βάση την κοινότητα, την ίδρυση ψυχιατρικών τμημάτων στα γενικά νοσοκομεία, καθώς και την παροχή εξειδικευμένων υπηρεσιών για παιδιά, εφήβους και ηλικιωμένους (Madianos, 2020). Πραγματοποιήθηκαν επίσης οι πρώτες νομοθετικές παρεμβάσεις για την προστασία των δικαιωμάτων των ασθενών. Η δεύτερη φάση του προγράμματος Ψυχαργώς, που διεξήχθη από το 2000 έως το 2010, επικεντρώθηκε στην περαιτέρω ανάπτυξη κοινοτικών υπηρεσιών ψυχικής υγείας για την κάλυψη των αναγκών του γενικού πληθυσμού και τη διευκόλυνση της αποϊδρυματοποίησης των χρόνιων ψυχιατρικών ασθενών (Karastergiou, Mastrogianni, Georgiadou et al., 2005). Η βασική αρχή της μεταρρύθμισης ήταν η μετατόπιση από τη νοσοκομειακή περίθαλψη, στην κοινοτική περίθαλψη, ως συνέχεια της αρχικής μεταρρύθμισης.  Δυστυχώς, η δεύτερη φάση του προγράμματος, δεν ολοκληρώθηκε ουσιαστικά ποτέ (Madianos, 2013). Παρότι αναπτύχθηκαν πολλές κοινοτικές υπηρεσίες ψυχικής υγείας, δεν επιτεύχθηκε ποτέ ο στόχος για ένα αποτελεσματικό, ολοκληρωμένο, και βιώσιμο σύστημα ψυχικής υγείας (Madianos, 2013; (Giannakopoulos &amp; Anagnostopoulos, 2016; (Economou et al., 2017).</w:t>
      </w:r>
    </w:p>
    <w:p w:rsidR="00000000" w:rsidDel="00000000" w:rsidP="00000000" w:rsidRDefault="00000000" w:rsidRPr="00000000" w14:paraId="0000015E">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Η πρωτοβάθμια περίθαλψη στην Ελλάδα παρέχεται τόσο από τον δημόσιο, όσο και από τον ιδιωτικό τομέα. Οι κύριες υπηρεσίες και πάροχοι που εμπλέκονται είναι: (α) Τα εξωτερικά ιατρεία των δημόσιων νοσοκομείων που υπάγονται στο δημόσιο εθνικό σύστημα υγείας (β) Οι μονάδες πρωτοβάθμιας περίθαλψης που συνδέονται με τους οργανισμούς τοπικής αυτοδιοίκησης και απευθύνονται συνήθως στις ευάλωτες ομάδες  και (γ) οι ιδιωτικές κλινικές και ιατρεία, που πληρώνονται από τους ιδιώτες, ή έχουν συμβάσεις με τον ΕΟΠΥΥ (Souliotis, Agapidaki, Tzavara et al., 2017). Στην Ελλάδα, δεν υπάρχει σύστημα εισόδου (gatekeeping) για την πρόσβαση στις υπηρεσίες ψυχικής υγείας και οι πολίτες μπορούν να απευθυνθούν είτε σε ένα δημόσιο, είτε σε έναν ιδιώτη πάροχο υπηρεσιών (OECD, 2021).  Ένα μεγάλο μέρος των κοινοτικών και εξωνοσοκομειακών υπηρεσιών, παρέχεται από ΝΠΙΔ, τα οποία χρηματοδοτούνται εξ’ολοκλήρου από τον κρατικό προϋπολογισμό (Loukidou, Mastroyannakis, Power et al., 2013). Αναλυτικότερα στοιχεία για τις παρεχόμενες υπηρεσίες, τους πόρους και τις δομές ψυχικής υγείας στην Ελλάδα, παρουσιάζονται στον πίνακα που ακολουθεί. </w:t>
      </w:r>
    </w:p>
    <w:p w:rsidR="00000000" w:rsidDel="00000000" w:rsidP="00000000" w:rsidRDefault="00000000" w:rsidRPr="00000000" w14:paraId="0000015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Πίνακας 2.1.</w:t>
      </w:r>
      <w:r w:rsidDel="00000000" w:rsidR="00000000" w:rsidRPr="00000000">
        <w:rPr>
          <w:rFonts w:ascii="Times New Roman" w:cs="Times New Roman" w:eastAsia="Times New Roman" w:hAnsi="Times New Roman"/>
          <w:sz w:val="24"/>
          <w:szCs w:val="24"/>
          <w:rtl w:val="0"/>
        </w:rPr>
        <w:t xml:space="preserve"> Υπηρεσίες και δομές ψυχικής υγείας στην Ελλάδα</w:t>
      </w:r>
    </w:p>
    <w:tbl>
      <w:tblPr>
        <w:tblStyle w:val="Table4"/>
        <w:tblW w:w="7586.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6830"/>
        <w:gridCol w:w="756"/>
        <w:tblGridChange w:id="0">
          <w:tblGrid>
            <w:gridCol w:w="6830"/>
            <w:gridCol w:w="756"/>
          </w:tblGrid>
        </w:tblGridChange>
      </w:tblGrid>
      <w:tr>
        <w:trPr>
          <w:cantSplit w:val="0"/>
          <w:tblHeader w:val="0"/>
        </w:trPr>
        <w:tc>
          <w:tcPr>
            <w:gridSpan w:val="2"/>
          </w:tcPr>
          <w:p w:rsidR="00000000" w:rsidDel="00000000" w:rsidP="00000000" w:rsidRDefault="00000000" w:rsidRPr="00000000" w14:paraId="00000160">
            <w:pPr>
              <w:spacing w:line="276"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Πόροι για την ψυχική υγεία</w:t>
            </w:r>
          </w:p>
        </w:tc>
      </w:tr>
      <w:tr>
        <w:trPr>
          <w:cantSplit w:val="0"/>
          <w:tblHeader w:val="0"/>
        </w:trPr>
        <w:tc>
          <w:tcPr>
            <w:gridSpan w:val="2"/>
          </w:tcPr>
          <w:p w:rsidR="00000000" w:rsidDel="00000000" w:rsidP="00000000" w:rsidRDefault="00000000" w:rsidRPr="00000000" w14:paraId="00000162">
            <w:pPr>
              <w:spacing w:line="276" w:lineRule="auto"/>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Εργατικό δυναμικό (ανά 100.000 άτομα)</w:t>
            </w:r>
          </w:p>
        </w:tc>
      </w:tr>
      <w:tr>
        <w:trPr>
          <w:cantSplit w:val="0"/>
          <w:tblHeader w:val="0"/>
        </w:trPr>
        <w:tc>
          <w:tcPr/>
          <w:p w:rsidR="00000000" w:rsidDel="00000000" w:rsidP="00000000" w:rsidRDefault="00000000" w:rsidRPr="00000000" w14:paraId="00000164">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Ψυχίατροι</w:t>
            </w:r>
          </w:p>
        </w:tc>
        <w:tc>
          <w:tcPr/>
          <w:p w:rsidR="00000000" w:rsidDel="00000000" w:rsidP="00000000" w:rsidRDefault="00000000" w:rsidRPr="00000000" w14:paraId="00000165">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5,80</w:t>
            </w:r>
          </w:p>
        </w:tc>
      </w:tr>
      <w:tr>
        <w:trPr>
          <w:cantSplit w:val="0"/>
          <w:tblHeader w:val="0"/>
        </w:trPr>
        <w:tc>
          <w:tcPr/>
          <w:p w:rsidR="00000000" w:rsidDel="00000000" w:rsidP="00000000" w:rsidRDefault="00000000" w:rsidRPr="00000000" w14:paraId="00000166">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Παιδοψυχίατροι</w:t>
            </w:r>
          </w:p>
        </w:tc>
        <w:tc>
          <w:tcPr/>
          <w:p w:rsidR="00000000" w:rsidDel="00000000" w:rsidP="00000000" w:rsidRDefault="00000000" w:rsidRPr="00000000" w14:paraId="00000167">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1,36</w:t>
            </w:r>
          </w:p>
        </w:tc>
      </w:tr>
      <w:tr>
        <w:trPr>
          <w:cantSplit w:val="0"/>
          <w:tblHeader w:val="0"/>
        </w:trPr>
        <w:tc>
          <w:tcPr/>
          <w:p w:rsidR="00000000" w:rsidDel="00000000" w:rsidP="00000000" w:rsidRDefault="00000000" w:rsidRPr="00000000" w14:paraId="00000168">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Νοσοκόμες ψυχικής υγείας</w:t>
            </w:r>
          </w:p>
        </w:tc>
        <w:tc>
          <w:tcPr/>
          <w:p w:rsidR="00000000" w:rsidDel="00000000" w:rsidP="00000000" w:rsidRDefault="00000000" w:rsidRPr="00000000" w14:paraId="00000169">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12,75</w:t>
            </w:r>
          </w:p>
        </w:tc>
      </w:tr>
      <w:tr>
        <w:trPr>
          <w:cantSplit w:val="0"/>
          <w:tblHeader w:val="0"/>
        </w:trPr>
        <w:tc>
          <w:tcPr/>
          <w:p w:rsidR="00000000" w:rsidDel="00000000" w:rsidP="00000000" w:rsidRDefault="00000000" w:rsidRPr="00000000" w14:paraId="0000016A">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Ψυχολόγοι</w:t>
            </w:r>
          </w:p>
        </w:tc>
        <w:tc>
          <w:tcPr/>
          <w:p w:rsidR="00000000" w:rsidDel="00000000" w:rsidP="00000000" w:rsidRDefault="00000000" w:rsidRPr="00000000" w14:paraId="0000016B">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8,78</w:t>
            </w:r>
          </w:p>
        </w:tc>
      </w:tr>
      <w:tr>
        <w:trPr>
          <w:cantSplit w:val="0"/>
          <w:tblHeader w:val="0"/>
        </w:trPr>
        <w:tc>
          <w:tcPr/>
          <w:p w:rsidR="00000000" w:rsidDel="00000000" w:rsidP="00000000" w:rsidRDefault="00000000" w:rsidRPr="00000000" w14:paraId="0000016C">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Κοινωνικοί Λειτουργοί</w:t>
            </w:r>
          </w:p>
        </w:tc>
        <w:tc>
          <w:tcPr/>
          <w:p w:rsidR="00000000" w:rsidDel="00000000" w:rsidP="00000000" w:rsidRDefault="00000000" w:rsidRPr="00000000" w14:paraId="0000016D">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8,46</w:t>
            </w:r>
          </w:p>
        </w:tc>
      </w:tr>
      <w:tr>
        <w:trPr>
          <w:cantSplit w:val="0"/>
          <w:tblHeader w:val="0"/>
        </w:trPr>
        <w:tc>
          <w:tcPr/>
          <w:p w:rsidR="00000000" w:rsidDel="00000000" w:rsidP="00000000" w:rsidRDefault="00000000" w:rsidRPr="00000000" w14:paraId="0000016E">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Εργοθεραπευτές</w:t>
            </w:r>
          </w:p>
        </w:tc>
        <w:tc>
          <w:tcPr/>
          <w:p w:rsidR="00000000" w:rsidDel="00000000" w:rsidP="00000000" w:rsidRDefault="00000000" w:rsidRPr="00000000" w14:paraId="0000016F">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1,83</w:t>
            </w:r>
          </w:p>
        </w:tc>
      </w:tr>
      <w:tr>
        <w:trPr>
          <w:cantSplit w:val="0"/>
          <w:tblHeader w:val="0"/>
        </w:trPr>
        <w:tc>
          <w:tcPr/>
          <w:p w:rsidR="00000000" w:rsidDel="00000000" w:rsidP="00000000" w:rsidRDefault="00000000" w:rsidRPr="00000000" w14:paraId="00000170">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Λογοθεραπευτές</w:t>
            </w:r>
          </w:p>
        </w:tc>
        <w:tc>
          <w:tcPr/>
          <w:p w:rsidR="00000000" w:rsidDel="00000000" w:rsidP="00000000" w:rsidRDefault="00000000" w:rsidRPr="00000000" w14:paraId="00000171">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0,59</w:t>
            </w:r>
          </w:p>
        </w:tc>
      </w:tr>
      <w:tr>
        <w:trPr>
          <w:cantSplit w:val="0"/>
          <w:tblHeader w:val="0"/>
        </w:trPr>
        <w:tc>
          <w:tcPr>
            <w:gridSpan w:val="2"/>
          </w:tcPr>
          <w:p w:rsidR="00000000" w:rsidDel="00000000" w:rsidP="00000000" w:rsidRDefault="00000000" w:rsidRPr="00000000" w14:paraId="00000172">
            <w:pPr>
              <w:spacing w:line="276"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Διαθέσιμες δομές και υπηρεσίες</w:t>
            </w:r>
          </w:p>
        </w:tc>
      </w:tr>
      <w:tr>
        <w:trPr>
          <w:cantSplit w:val="0"/>
          <w:tblHeader w:val="0"/>
        </w:trPr>
        <w:tc>
          <w:tcPr>
            <w:gridSpan w:val="2"/>
          </w:tcPr>
          <w:p w:rsidR="00000000" w:rsidDel="00000000" w:rsidP="00000000" w:rsidRDefault="00000000" w:rsidRPr="00000000" w14:paraId="00000174">
            <w:pPr>
              <w:spacing w:line="276" w:lineRule="auto"/>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Εξωνοσοκομειακές δομές και υπηρεσίες</w:t>
            </w:r>
          </w:p>
        </w:tc>
      </w:tr>
      <w:tr>
        <w:trPr>
          <w:cantSplit w:val="0"/>
          <w:tblHeader w:val="0"/>
        </w:trPr>
        <w:tc>
          <w:tcPr/>
          <w:p w:rsidR="00000000" w:rsidDel="00000000" w:rsidP="00000000" w:rsidRDefault="00000000" w:rsidRPr="00000000" w14:paraId="00000176">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Εξωνοσοκομειακές δομές που συνδέονται με τα νοσοκομεία</w:t>
            </w:r>
          </w:p>
        </w:tc>
        <w:tc>
          <w:tcPr/>
          <w:p w:rsidR="00000000" w:rsidDel="00000000" w:rsidP="00000000" w:rsidRDefault="00000000" w:rsidRPr="00000000" w14:paraId="00000177">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63</w:t>
            </w:r>
          </w:p>
        </w:tc>
      </w:tr>
      <w:tr>
        <w:trPr>
          <w:cantSplit w:val="0"/>
          <w:tblHeader w:val="0"/>
        </w:trPr>
        <w:tc>
          <w:tcPr/>
          <w:p w:rsidR="00000000" w:rsidDel="00000000" w:rsidP="00000000" w:rsidRDefault="00000000" w:rsidRPr="00000000" w14:paraId="00000178">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Κοινοτικές δομές</w:t>
            </w:r>
          </w:p>
        </w:tc>
        <w:tc>
          <w:tcPr/>
          <w:p w:rsidR="00000000" w:rsidDel="00000000" w:rsidP="00000000" w:rsidRDefault="00000000" w:rsidRPr="00000000" w14:paraId="00000179">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34</w:t>
            </w:r>
          </w:p>
        </w:tc>
      </w:tr>
      <w:tr>
        <w:trPr>
          <w:cantSplit w:val="0"/>
          <w:tblHeader w:val="0"/>
        </w:trPr>
        <w:tc>
          <w:tcPr/>
          <w:p w:rsidR="00000000" w:rsidDel="00000000" w:rsidP="00000000" w:rsidRDefault="00000000" w:rsidRPr="00000000" w14:paraId="0000017A">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Άλλες εξωνοσοκομειακές κοινοτικές δομές ημερήσιας φροντίδας</w:t>
            </w:r>
          </w:p>
        </w:tc>
        <w:tc>
          <w:tcPr/>
          <w:p w:rsidR="00000000" w:rsidDel="00000000" w:rsidP="00000000" w:rsidRDefault="00000000" w:rsidRPr="00000000" w14:paraId="0000017B">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141</w:t>
            </w:r>
          </w:p>
        </w:tc>
      </w:tr>
      <w:tr>
        <w:trPr>
          <w:cantSplit w:val="0"/>
          <w:tblHeader w:val="0"/>
        </w:trPr>
        <w:tc>
          <w:tcPr/>
          <w:p w:rsidR="00000000" w:rsidDel="00000000" w:rsidP="00000000" w:rsidRDefault="00000000" w:rsidRPr="00000000" w14:paraId="0000017C">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Εξωνοσοκομειακές δομές παιδιών και εφήβων</w:t>
            </w:r>
          </w:p>
        </w:tc>
        <w:tc>
          <w:tcPr/>
          <w:p w:rsidR="00000000" w:rsidDel="00000000" w:rsidP="00000000" w:rsidRDefault="00000000" w:rsidRPr="00000000" w14:paraId="0000017D">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54</w:t>
            </w:r>
          </w:p>
        </w:tc>
      </w:tr>
      <w:tr>
        <w:trPr>
          <w:cantSplit w:val="0"/>
          <w:tblHeader w:val="0"/>
        </w:trPr>
        <w:tc>
          <w:tcPr/>
          <w:p w:rsidR="00000000" w:rsidDel="00000000" w:rsidP="00000000" w:rsidRDefault="00000000" w:rsidRPr="00000000" w14:paraId="0000017E">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Άλλες εξ/κές δομές παιδιών και εφήβων</w:t>
            </w:r>
          </w:p>
        </w:tc>
        <w:tc>
          <w:tcPr/>
          <w:p w:rsidR="00000000" w:rsidDel="00000000" w:rsidP="00000000" w:rsidRDefault="00000000" w:rsidRPr="00000000" w14:paraId="0000017F">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w:t>
            </w:r>
          </w:p>
        </w:tc>
      </w:tr>
      <w:tr>
        <w:trPr>
          <w:cantSplit w:val="0"/>
          <w:tblHeader w:val="0"/>
        </w:trPr>
        <w:tc>
          <w:tcPr>
            <w:gridSpan w:val="2"/>
          </w:tcPr>
          <w:p w:rsidR="00000000" w:rsidDel="00000000" w:rsidP="00000000" w:rsidRDefault="00000000" w:rsidRPr="00000000" w14:paraId="00000180">
            <w:pPr>
              <w:spacing w:line="276" w:lineRule="auto"/>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Εξωνοσοκομειακές δομές και υπηρεσίες</w:t>
            </w:r>
          </w:p>
        </w:tc>
      </w:tr>
      <w:tr>
        <w:trPr>
          <w:cantSplit w:val="0"/>
          <w:tblHeader w:val="0"/>
        </w:trPr>
        <w:tc>
          <w:tcPr/>
          <w:p w:rsidR="00000000" w:rsidDel="00000000" w:rsidP="00000000" w:rsidRDefault="00000000" w:rsidRPr="00000000" w14:paraId="00000182">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Ψυχιατρικά Νοσοκομεία</w:t>
            </w:r>
          </w:p>
        </w:tc>
        <w:tc>
          <w:tcPr/>
          <w:p w:rsidR="00000000" w:rsidDel="00000000" w:rsidP="00000000" w:rsidRDefault="00000000" w:rsidRPr="00000000" w14:paraId="00000183">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r>
      <w:tr>
        <w:trPr>
          <w:cantSplit w:val="0"/>
          <w:tblHeader w:val="0"/>
        </w:trPr>
        <w:tc>
          <w:tcPr/>
          <w:p w:rsidR="00000000" w:rsidDel="00000000" w:rsidP="00000000" w:rsidRDefault="00000000" w:rsidRPr="00000000" w14:paraId="00000184">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Ψυχιατρικές μονάδες στα γενικά νοσοκομεία</w:t>
            </w:r>
          </w:p>
        </w:tc>
        <w:tc>
          <w:tcPr/>
          <w:p w:rsidR="00000000" w:rsidDel="00000000" w:rsidP="00000000" w:rsidRDefault="00000000" w:rsidRPr="00000000" w14:paraId="00000185">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37</w:t>
            </w:r>
          </w:p>
        </w:tc>
      </w:tr>
      <w:tr>
        <w:trPr>
          <w:cantSplit w:val="0"/>
          <w:tblHeader w:val="0"/>
        </w:trPr>
        <w:tc>
          <w:tcPr/>
          <w:p w:rsidR="00000000" w:rsidDel="00000000" w:rsidP="00000000" w:rsidRDefault="00000000" w:rsidRPr="00000000" w14:paraId="00000186">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Περιφερειακές μονάδες φροντίδας</w:t>
            </w:r>
          </w:p>
        </w:tc>
        <w:tc>
          <w:tcPr/>
          <w:p w:rsidR="00000000" w:rsidDel="00000000" w:rsidP="00000000" w:rsidRDefault="00000000" w:rsidRPr="00000000" w14:paraId="00000187">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693</w:t>
            </w:r>
          </w:p>
        </w:tc>
      </w:tr>
      <w:tr>
        <w:trPr>
          <w:cantSplit w:val="0"/>
          <w:tblHeader w:val="0"/>
        </w:trPr>
        <w:tc>
          <w:tcPr/>
          <w:p w:rsidR="00000000" w:rsidDel="00000000" w:rsidP="00000000" w:rsidRDefault="00000000" w:rsidRPr="00000000" w14:paraId="00000188">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Ενδονοσοκομειακές δομές για παιδιά και εφήβους </w:t>
            </w:r>
          </w:p>
        </w:tc>
        <w:tc>
          <w:tcPr/>
          <w:p w:rsidR="00000000" w:rsidDel="00000000" w:rsidP="00000000" w:rsidRDefault="00000000" w:rsidRPr="00000000" w14:paraId="00000189">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w:t>
            </w:r>
          </w:p>
        </w:tc>
      </w:tr>
    </w:tbl>
    <w:p w:rsidR="00000000" w:rsidDel="00000000" w:rsidP="00000000" w:rsidRDefault="00000000" w:rsidRPr="00000000" w14:paraId="0000018A">
      <w:pPr>
        <w:spacing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Πηγή:</w:t>
      </w:r>
      <w:r w:rsidDel="00000000" w:rsidR="00000000" w:rsidRPr="00000000">
        <w:rPr>
          <w:rFonts w:ascii="Times New Roman" w:cs="Times New Roman" w:eastAsia="Times New Roman" w:hAnsi="Times New Roman"/>
          <w:sz w:val="20"/>
          <w:szCs w:val="20"/>
          <w:rtl w:val="0"/>
        </w:rPr>
        <w:t xml:space="preserve"> WHO (2018), “Mental Health ATLAS 2017”, WHO, </w:t>
      </w:r>
      <w:hyperlink r:id="rId9">
        <w:r w:rsidDel="00000000" w:rsidR="00000000" w:rsidRPr="00000000">
          <w:rPr>
            <w:rFonts w:ascii="Times New Roman" w:cs="Times New Roman" w:eastAsia="Times New Roman" w:hAnsi="Times New Roman"/>
            <w:color w:val="0000ff"/>
            <w:sz w:val="20"/>
            <w:szCs w:val="20"/>
            <w:u w:val="single"/>
            <w:rtl w:val="0"/>
          </w:rPr>
          <w:t xml:space="preserve">http://www.who.int/mental_health/evidence/atlas/mental_health_atlas_2017/en/</w:t>
        </w:r>
      </w:hyperlink>
      <w:r w:rsidDel="00000000" w:rsidR="00000000" w:rsidRPr="00000000">
        <w:rPr>
          <w:rFonts w:ascii="Times New Roman" w:cs="Times New Roman" w:eastAsia="Times New Roman" w:hAnsi="Times New Roman"/>
          <w:sz w:val="20"/>
          <w:szCs w:val="20"/>
          <w:rtl w:val="0"/>
        </w:rPr>
        <w:t xml:space="preserve">. </w:t>
      </w:r>
    </w:p>
    <w:p w:rsidR="00000000" w:rsidDel="00000000" w:rsidP="00000000" w:rsidRDefault="00000000" w:rsidRPr="00000000" w14:paraId="0000018B">
      <w:pPr>
        <w:rPr/>
      </w:pPr>
      <w:r w:rsidDel="00000000" w:rsidR="00000000" w:rsidRPr="00000000">
        <w:rPr>
          <w:rtl w:val="0"/>
        </w:rPr>
      </w:r>
    </w:p>
    <w:p w:rsidR="00000000" w:rsidDel="00000000" w:rsidP="00000000" w:rsidRDefault="00000000" w:rsidRPr="00000000" w14:paraId="0000018C">
      <w:pPr>
        <w:rPr/>
      </w:pPr>
      <w:r w:rsidDel="00000000" w:rsidR="00000000" w:rsidRPr="00000000">
        <w:rPr>
          <w:rtl w:val="0"/>
        </w:rPr>
      </w:r>
    </w:p>
    <w:p w:rsidR="00000000" w:rsidDel="00000000" w:rsidP="00000000" w:rsidRDefault="00000000" w:rsidRPr="00000000" w14:paraId="0000018D">
      <w:pPr>
        <w:rPr/>
      </w:pPr>
      <w:r w:rsidDel="00000000" w:rsidR="00000000" w:rsidRPr="00000000">
        <w:rPr>
          <w:rtl w:val="0"/>
        </w:rPr>
      </w:r>
    </w:p>
    <w:p w:rsidR="00000000" w:rsidDel="00000000" w:rsidP="00000000" w:rsidRDefault="00000000" w:rsidRPr="00000000" w14:paraId="0000018E">
      <w:pPr>
        <w:rPr/>
      </w:pPr>
      <w:r w:rsidDel="00000000" w:rsidR="00000000" w:rsidRPr="00000000">
        <w:rPr>
          <w:rtl w:val="0"/>
        </w:rPr>
      </w:r>
    </w:p>
    <w:p w:rsidR="00000000" w:rsidDel="00000000" w:rsidP="00000000" w:rsidRDefault="00000000" w:rsidRPr="00000000" w14:paraId="0000018F">
      <w:pPr>
        <w:rPr/>
      </w:pPr>
      <w:r w:rsidDel="00000000" w:rsidR="00000000" w:rsidRPr="00000000">
        <w:rPr>
          <w:rtl w:val="0"/>
        </w:rPr>
      </w:r>
    </w:p>
    <w:p w:rsidR="00000000" w:rsidDel="00000000" w:rsidP="00000000" w:rsidRDefault="00000000" w:rsidRPr="00000000" w14:paraId="00000190">
      <w:pPr>
        <w:rPr/>
      </w:pPr>
      <w:r w:rsidDel="00000000" w:rsidR="00000000" w:rsidRPr="00000000">
        <w:rPr>
          <w:rtl w:val="0"/>
        </w:rPr>
      </w:r>
    </w:p>
    <w:p w:rsidR="00000000" w:rsidDel="00000000" w:rsidP="00000000" w:rsidRDefault="00000000" w:rsidRPr="00000000" w14:paraId="00000191">
      <w:pPr>
        <w:rPr/>
      </w:pPr>
      <w:r w:rsidDel="00000000" w:rsidR="00000000" w:rsidRPr="00000000">
        <w:rPr>
          <w:rtl w:val="0"/>
        </w:rPr>
      </w:r>
    </w:p>
    <w:p w:rsidR="00000000" w:rsidDel="00000000" w:rsidP="00000000" w:rsidRDefault="00000000" w:rsidRPr="00000000" w14:paraId="00000192">
      <w:pPr>
        <w:rPr/>
      </w:pPr>
      <w:r w:rsidDel="00000000" w:rsidR="00000000" w:rsidRPr="00000000">
        <w:rPr>
          <w:rtl w:val="0"/>
        </w:rPr>
      </w:r>
    </w:p>
    <w:p w:rsidR="00000000" w:rsidDel="00000000" w:rsidP="00000000" w:rsidRDefault="00000000" w:rsidRPr="00000000" w14:paraId="00000193">
      <w:pPr>
        <w:rPr/>
      </w:pPr>
      <w:r w:rsidDel="00000000" w:rsidR="00000000" w:rsidRPr="00000000">
        <w:rPr>
          <w:rtl w:val="0"/>
        </w:rPr>
      </w:r>
    </w:p>
    <w:p w:rsidR="00000000" w:rsidDel="00000000" w:rsidP="00000000" w:rsidRDefault="00000000" w:rsidRPr="00000000" w14:paraId="00000194">
      <w:pPr>
        <w:rPr/>
      </w:pPr>
      <w:r w:rsidDel="00000000" w:rsidR="00000000" w:rsidRPr="00000000">
        <w:rPr>
          <w:rtl w:val="0"/>
        </w:rPr>
      </w:r>
    </w:p>
    <w:p w:rsidR="00000000" w:rsidDel="00000000" w:rsidP="00000000" w:rsidRDefault="00000000" w:rsidRPr="00000000" w14:paraId="00000195">
      <w:pPr>
        <w:rPr/>
      </w:pPr>
      <w:r w:rsidDel="00000000" w:rsidR="00000000" w:rsidRPr="00000000">
        <w:rPr>
          <w:rtl w:val="0"/>
        </w:rPr>
      </w:r>
    </w:p>
    <w:p w:rsidR="00000000" w:rsidDel="00000000" w:rsidP="00000000" w:rsidRDefault="00000000" w:rsidRPr="00000000" w14:paraId="00000196">
      <w:pPr>
        <w:rPr/>
      </w:pPr>
      <w:r w:rsidDel="00000000" w:rsidR="00000000" w:rsidRPr="00000000">
        <w:rPr>
          <w:rtl w:val="0"/>
        </w:rPr>
      </w:r>
    </w:p>
    <w:p w:rsidR="00000000" w:rsidDel="00000000" w:rsidP="00000000" w:rsidRDefault="00000000" w:rsidRPr="00000000" w14:paraId="00000197">
      <w:pPr>
        <w:rPr/>
      </w:pPr>
      <w:r w:rsidDel="00000000" w:rsidR="00000000" w:rsidRPr="00000000">
        <w:rPr>
          <w:rtl w:val="0"/>
        </w:rPr>
      </w:r>
    </w:p>
    <w:p w:rsidR="00000000" w:rsidDel="00000000" w:rsidP="00000000" w:rsidRDefault="00000000" w:rsidRPr="00000000" w14:paraId="00000198">
      <w:pPr>
        <w:rPr/>
      </w:pPr>
      <w:r w:rsidDel="00000000" w:rsidR="00000000" w:rsidRPr="00000000">
        <w:rPr>
          <w:rtl w:val="0"/>
        </w:rPr>
      </w:r>
    </w:p>
    <w:p w:rsidR="00000000" w:rsidDel="00000000" w:rsidP="00000000" w:rsidRDefault="00000000" w:rsidRPr="00000000" w14:paraId="00000199">
      <w:pPr>
        <w:rPr/>
      </w:pPr>
      <w:r w:rsidDel="00000000" w:rsidR="00000000" w:rsidRPr="00000000">
        <w:rPr>
          <w:rtl w:val="0"/>
        </w:rPr>
      </w:r>
    </w:p>
    <w:p w:rsidR="00000000" w:rsidDel="00000000" w:rsidP="00000000" w:rsidRDefault="00000000" w:rsidRPr="00000000" w14:paraId="0000019A">
      <w:pPr>
        <w:rPr/>
      </w:pPr>
      <w:r w:rsidDel="00000000" w:rsidR="00000000" w:rsidRPr="00000000">
        <w:rPr>
          <w:rtl w:val="0"/>
        </w:rPr>
      </w:r>
    </w:p>
    <w:p w:rsidR="00000000" w:rsidDel="00000000" w:rsidP="00000000" w:rsidRDefault="00000000" w:rsidRPr="00000000" w14:paraId="0000019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9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9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9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9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A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A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A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A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A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A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A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A7">
      <w:pPr>
        <w:pStyle w:val="Heading1"/>
        <w:spacing w:after="120" w:before="120" w:lineRule="auto"/>
        <w:jc w:val="center"/>
        <w:rPr>
          <w:rFonts w:ascii="Times New Roman" w:cs="Times New Roman" w:eastAsia="Times New Roman" w:hAnsi="Times New Roman"/>
          <w:color w:val="000000"/>
        </w:rPr>
      </w:pPr>
      <w:bookmarkStart w:colFirst="0" w:colLast="0" w:name="_heading=h.3j2qqm3" w:id="19"/>
      <w:bookmarkEnd w:id="19"/>
      <w:r w:rsidDel="00000000" w:rsidR="00000000" w:rsidRPr="00000000">
        <w:rPr>
          <w:rFonts w:ascii="Times New Roman" w:cs="Times New Roman" w:eastAsia="Times New Roman" w:hAnsi="Times New Roman"/>
          <w:color w:val="000000"/>
          <w:rtl w:val="0"/>
        </w:rPr>
        <w:t xml:space="preserve">ΜΕΡΟΣ IΙΙ </w:t>
      </w:r>
    </w:p>
    <w:p w:rsidR="00000000" w:rsidDel="00000000" w:rsidP="00000000" w:rsidRDefault="00000000" w:rsidRPr="00000000" w14:paraId="000001A8">
      <w:pPr>
        <w:pStyle w:val="Heading1"/>
        <w:spacing w:after="120" w:before="120" w:lineRule="auto"/>
        <w:jc w:val="center"/>
        <w:rPr>
          <w:rFonts w:ascii="Times New Roman" w:cs="Times New Roman" w:eastAsia="Times New Roman" w:hAnsi="Times New Roman"/>
          <w:color w:val="000000"/>
        </w:rPr>
      </w:pPr>
      <w:bookmarkStart w:colFirst="0" w:colLast="0" w:name="_heading=h.1y810tw" w:id="20"/>
      <w:bookmarkEnd w:id="20"/>
      <w:r w:rsidDel="00000000" w:rsidR="00000000" w:rsidRPr="00000000">
        <w:rPr>
          <w:rFonts w:ascii="Times New Roman" w:cs="Times New Roman" w:eastAsia="Times New Roman" w:hAnsi="Times New Roman"/>
          <w:color w:val="000000"/>
          <w:rtl w:val="0"/>
        </w:rPr>
        <w:t xml:space="preserve">3. ΜΕΘΟΔΟΛΟΓΙΑ</w:t>
      </w:r>
    </w:p>
    <w:p w:rsidR="00000000" w:rsidDel="00000000" w:rsidP="00000000" w:rsidRDefault="00000000" w:rsidRPr="00000000" w14:paraId="000001A9">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Σκοπός της παρούσας έρευνας, είναι η συγκριτική αξιολόγηση των συστημάτων ψυχικής υγείας σε διάφορες χώρες, συμπεριλαμβανομένης και της Ελλάδος. Για τη σύγκριση των συστημάτων ψυχικής υγείας, χρησιμοποιήθηκαν ως σημείο αναφοράς οι δείκτες που προτάθηκαν από τον Οργανισμό Οικονομικής Συνεργασίας και Ανάπτυξης (ΟΟΣΑ) σε συνεργασία με τους Υπουργούς Υγείας των χωρών,</w:t>
      </w:r>
      <w:r w:rsidDel="00000000" w:rsidR="00000000" w:rsidRPr="00000000">
        <w:rPr>
          <w:rtl w:val="0"/>
        </w:rPr>
        <w:t xml:space="preserve"> </w:t>
      </w:r>
      <w:r w:rsidDel="00000000" w:rsidR="00000000" w:rsidRPr="00000000">
        <w:rPr>
          <w:rFonts w:ascii="Times New Roman" w:cs="Times New Roman" w:eastAsia="Times New Roman" w:hAnsi="Times New Roman"/>
          <w:sz w:val="24"/>
          <w:szCs w:val="24"/>
          <w:rtl w:val="0"/>
        </w:rPr>
        <w:t xml:space="preserve">το 2017 (OECD, 2021). Οι δείκτες αυτοί, προτάθηκαν ως ένα εργαλείο αξιολόγησης και βελτίωσης των συστημάτων ψυχικής υγείας, καθώς οι περισσότερες χώρες του ΟΟΣΑ, δεν μπορούν να μετρήσουν την απόδοση των συστημάτων τους σε πολλούς τομείς.  Στην παρούσα έρευνα, χρησιμοποιήθηκαν οι πέντε από τους έξι δείκτες που προτείνονται από τον ΟΟΣΑ: α) Η προσωποκεντρική προσέγγιση του συστήματος</w:t>
      </w:r>
      <w:r w:rsidDel="00000000" w:rsidR="00000000" w:rsidRPr="00000000">
        <w:rPr>
          <w:rtl w:val="0"/>
        </w:rPr>
        <w:t xml:space="preserve"> </w:t>
      </w:r>
      <w:r w:rsidDel="00000000" w:rsidR="00000000" w:rsidRPr="00000000">
        <w:rPr>
          <w:rFonts w:ascii="Times New Roman" w:cs="Times New Roman" w:eastAsia="Times New Roman" w:hAnsi="Times New Roman"/>
          <w:sz w:val="24"/>
          <w:szCs w:val="24"/>
          <w:rtl w:val="0"/>
        </w:rPr>
        <w:t xml:space="preserve">ψυχικής υγείας, β) η προσβασιμότητα του συστήματος ψυχικής υγείας, γ) η ολοκληρωμένη και  πολυτομεακή προσέγγιση για την ψυχική υγεία δ) η πρόληψη των ψυχικών ασθενειών και η προώθηση της ψυχικής ευεξίας και ε) οι δαπάνες, οι πόροι, οι πολιτικές και η χρηστή διακυβέρνηση. Τα δεδομένα που χρησιμοποιήθηκαν στην παρούσα έρευνα ήταν δευτερογενή και προήλθαν κατά κύριο λόγο από έρευνες και στατιστικά δεδομένα διεθνών οργανισμών, όπως είναι ο ΟΟΣΑ και η Ευρωπαϊκή Ένωση. Ο πρώτος άξονας, αφορά στην παροχή υπηρεσιών με επίκεντρο τον άνθρωπο. Ο δεύτερος άξονας, αφορά στη δυνατότητα πρόσβασης των ατόμων στην υπηρεσίες ψυχικής υγείας και την προσφορά των υπηρεσιών. Ο τρίτος άξονας,  αφορά στις διατομεακές πολιτικές και στρατηγικές των χωρών για την ψυχική υγεία. Ο τέταρτος άξονας, αφορά στις πολιτικές και τις δράσεις που σχετίζονται με την πρόληψη. Ο τελευταίος άξονας, αφορά στην ύπαρξη συγκεκριμένων πολιτικών και στρατηγικών σχετικά με την ψυχική υγεία και το σχεδιασμό των παρεχόμενων υπηρεσιών.</w:t>
      </w:r>
    </w:p>
    <w:p w:rsidR="00000000" w:rsidDel="00000000" w:rsidP="00000000" w:rsidRDefault="00000000" w:rsidRPr="00000000" w14:paraId="000001AA">
      <w:pPr>
        <w:pStyle w:val="Heading1"/>
        <w:spacing w:before="0" w:lineRule="auto"/>
        <w:jc w:val="center"/>
        <w:rPr>
          <w:rFonts w:ascii="Times New Roman" w:cs="Times New Roman" w:eastAsia="Times New Roman" w:hAnsi="Times New Roman"/>
          <w:color w:val="000000"/>
        </w:rPr>
      </w:pPr>
      <w:bookmarkStart w:colFirst="0" w:colLast="0" w:name="_heading=h.4i7ojhp" w:id="21"/>
      <w:bookmarkEnd w:id="21"/>
      <w:r w:rsidDel="00000000" w:rsidR="00000000" w:rsidRPr="00000000">
        <w:rPr>
          <w:rFonts w:ascii="Times New Roman" w:cs="Times New Roman" w:eastAsia="Times New Roman" w:hAnsi="Times New Roman"/>
          <w:color w:val="000000"/>
          <w:rtl w:val="0"/>
        </w:rPr>
        <w:t xml:space="preserve">ΜΕΡΟΣ IV</w:t>
      </w:r>
    </w:p>
    <w:p w:rsidR="00000000" w:rsidDel="00000000" w:rsidP="00000000" w:rsidRDefault="00000000" w:rsidRPr="00000000" w14:paraId="000001AB">
      <w:pPr>
        <w:pStyle w:val="Heading1"/>
        <w:spacing w:before="0" w:lineRule="auto"/>
        <w:jc w:val="center"/>
        <w:rPr>
          <w:rFonts w:ascii="Times New Roman" w:cs="Times New Roman" w:eastAsia="Times New Roman" w:hAnsi="Times New Roman"/>
          <w:color w:val="000000"/>
        </w:rPr>
      </w:pPr>
      <w:bookmarkStart w:colFirst="0" w:colLast="0" w:name="_heading=h.2xcytpi" w:id="22"/>
      <w:bookmarkEnd w:id="22"/>
      <w:r w:rsidDel="00000000" w:rsidR="00000000" w:rsidRPr="00000000">
        <w:rPr>
          <w:rFonts w:ascii="Times New Roman" w:cs="Times New Roman" w:eastAsia="Times New Roman" w:hAnsi="Times New Roman"/>
          <w:color w:val="000000"/>
          <w:rtl w:val="0"/>
        </w:rPr>
        <w:t xml:space="preserve">ΑΠΟΤΕΛΕΣΜΑΤΑ</w:t>
      </w:r>
    </w:p>
    <w:p w:rsidR="00000000" w:rsidDel="00000000" w:rsidP="00000000" w:rsidRDefault="00000000" w:rsidRPr="00000000" w14:paraId="000001AC">
      <w:pPr>
        <w:pStyle w:val="Heading1"/>
        <w:spacing w:before="0" w:lineRule="auto"/>
        <w:jc w:val="center"/>
        <w:rPr>
          <w:rFonts w:ascii="Times New Roman" w:cs="Times New Roman" w:eastAsia="Times New Roman" w:hAnsi="Times New Roman"/>
          <w:color w:val="000000"/>
        </w:rPr>
      </w:pPr>
      <w:bookmarkStart w:colFirst="0" w:colLast="0" w:name="_heading=h.1ci93xb" w:id="23"/>
      <w:bookmarkEnd w:id="23"/>
      <w:r w:rsidDel="00000000" w:rsidR="00000000" w:rsidRPr="00000000">
        <w:rPr>
          <w:rFonts w:ascii="Times New Roman" w:cs="Times New Roman" w:eastAsia="Times New Roman" w:hAnsi="Times New Roman"/>
          <w:color w:val="000000"/>
          <w:rtl w:val="0"/>
        </w:rPr>
        <w:t xml:space="preserve">4.1. Ανθρωποκεντρικές πολιτικές και υπηρεσίες ψυχικής υγείας</w:t>
      </w:r>
    </w:p>
    <w:p w:rsidR="00000000" w:rsidDel="00000000" w:rsidP="00000000" w:rsidRDefault="00000000" w:rsidRPr="00000000" w14:paraId="000001AD">
      <w:pPr>
        <w:pStyle w:val="Heading2"/>
        <w:jc w:val="center"/>
        <w:rPr>
          <w:rFonts w:ascii="Times New Roman" w:cs="Times New Roman" w:eastAsia="Times New Roman" w:hAnsi="Times New Roman"/>
          <w:i w:val="1"/>
          <w:color w:val="000000"/>
          <w:sz w:val="24"/>
          <w:szCs w:val="24"/>
        </w:rPr>
      </w:pPr>
      <w:bookmarkStart w:colFirst="0" w:colLast="0" w:name="_heading=h.3whwml4" w:id="24"/>
      <w:bookmarkEnd w:id="24"/>
      <w:r w:rsidDel="00000000" w:rsidR="00000000" w:rsidRPr="00000000">
        <w:rPr>
          <w:rFonts w:ascii="Times New Roman" w:cs="Times New Roman" w:eastAsia="Times New Roman" w:hAnsi="Times New Roman"/>
          <w:i w:val="1"/>
          <w:color w:val="000000"/>
          <w:sz w:val="24"/>
          <w:szCs w:val="24"/>
          <w:rtl w:val="0"/>
        </w:rPr>
        <w:t xml:space="preserve">4.1.1. Επιλογή παρόχων &amp; υπηρεσιών ψυχικής υγείας</w:t>
      </w:r>
    </w:p>
    <w:p w:rsidR="00000000" w:rsidDel="00000000" w:rsidP="00000000" w:rsidRDefault="00000000" w:rsidRPr="00000000" w14:paraId="000001AE">
      <w:pPr>
        <w:spacing w:after="12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Η δυνατότητα επιλογής παρόχου υπηρεσιών ψυχικής υγείας ή συγκεκριμένων υπηρεσιών, είναι εξαιρετικά σημαντική για την παροχή της κατάλληλης ή της προτιμώμενης φροντίδας από τους λήπτες των υπηρεσιών (OECD, 2021). Η παροχή διαφόρων υπηρεσιών ή επιλογών θεραπείας, συμβάλλει στην υπέρβαση ενός μοντέλου ενιαίας προσέγγισης για την ψυχική υγεία και βοηθά στην ευθυγράμμιση των αναγκών των ληπτών των υπηρεσιών και του είδους των παρεχόμενων υπηρεσιών. Υπάρχει σημαντική διαφοροποίηση, τόσο μεταξύ των χωρών του ΟΟΣΑ, όσο και εντός τους, ακόμη και αν υπάρχει δυνατότητα επιλογής παρόχου ή συγκεκριμένων υπηρεσιών, καθώς συχνά μπορεί να μην είναι προσβάσιμες στην πράξη (Πίνακας 4.1). </w:t>
      </w:r>
    </w:p>
    <w:p w:rsidR="00000000" w:rsidDel="00000000" w:rsidP="00000000" w:rsidRDefault="00000000" w:rsidRPr="00000000" w14:paraId="000001AF">
      <w:pPr>
        <w:spacing w:line="240" w:lineRule="auto"/>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Πίνακας 4.1. </w:t>
      </w:r>
      <w:r w:rsidDel="00000000" w:rsidR="00000000" w:rsidRPr="00000000">
        <w:rPr>
          <w:rFonts w:ascii="Times New Roman" w:cs="Times New Roman" w:eastAsia="Times New Roman" w:hAnsi="Times New Roman"/>
          <w:sz w:val="24"/>
          <w:szCs w:val="24"/>
          <w:rtl w:val="0"/>
        </w:rPr>
        <w:t xml:space="preserve">Δυνατότητα επιλογής παρόχου ή υπηρεσιών ψυχικής υγείας </w:t>
      </w:r>
    </w:p>
    <w:tbl>
      <w:tblPr>
        <w:tblStyle w:val="Table5"/>
        <w:tblW w:w="7586.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528"/>
        <w:gridCol w:w="5058"/>
        <w:tblGridChange w:id="0">
          <w:tblGrid>
            <w:gridCol w:w="2528"/>
            <w:gridCol w:w="5058"/>
          </w:tblGrid>
        </w:tblGridChange>
      </w:tblGrid>
      <w:tr>
        <w:trPr>
          <w:cantSplit w:val="0"/>
          <w:tblHeader w:val="0"/>
        </w:trPr>
        <w:tc>
          <w:tcPr>
            <w:gridSpan w:val="2"/>
            <w:tcBorders>
              <w:top w:color="000000" w:space="0" w:sz="0" w:val="nil"/>
              <w:left w:color="000000" w:space="0" w:sz="0" w:val="nil"/>
              <w:right w:color="000000" w:space="0" w:sz="0" w:val="nil"/>
            </w:tcBorders>
          </w:tcPr>
          <w:p w:rsidR="00000000" w:rsidDel="00000000" w:rsidP="00000000" w:rsidRDefault="00000000" w:rsidRPr="00000000" w14:paraId="000001B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tcBorders>
              <w:left w:color="000000" w:space="0" w:sz="0" w:val="nil"/>
              <w:right w:color="000000" w:space="0" w:sz="4" w:val="single"/>
            </w:tcBorders>
          </w:tcPr>
          <w:p w:rsidR="00000000" w:rsidDel="00000000" w:rsidP="00000000" w:rsidRDefault="00000000" w:rsidRPr="00000000" w14:paraId="000001B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Ναι</w:t>
            </w:r>
          </w:p>
        </w:tc>
        <w:tc>
          <w:tcPr>
            <w:tcBorders>
              <w:left w:color="000000" w:space="0" w:sz="4" w:val="single"/>
              <w:right w:color="000000" w:space="0" w:sz="0" w:val="nil"/>
            </w:tcBorders>
          </w:tcPr>
          <w:p w:rsidR="00000000" w:rsidDel="00000000" w:rsidP="00000000" w:rsidRDefault="00000000" w:rsidRPr="00000000" w14:paraId="000001B3">
            <w:pPr>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Αυστραλία:</w:t>
            </w:r>
            <w:r w:rsidDel="00000000" w:rsidR="00000000" w:rsidRPr="00000000">
              <w:rPr>
                <w:rFonts w:ascii="Times New Roman" w:cs="Times New Roman" w:eastAsia="Times New Roman" w:hAnsi="Times New Roman"/>
                <w:rtl w:val="0"/>
              </w:rPr>
              <w:t xml:space="preserve"> Οι ασθενείς μπορούν να επιλέξουν τον επαγγελματία υγείας και την υπηρεσία που επιθυμούν, υπό την προϋπόθεση ότι έχουν παραπεμφθεί από τον ιατρό τους.</w:t>
            </w:r>
          </w:p>
          <w:p w:rsidR="00000000" w:rsidDel="00000000" w:rsidP="00000000" w:rsidRDefault="00000000" w:rsidRPr="00000000" w14:paraId="000001B4">
            <w:pPr>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Βέλγιο,</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b w:val="1"/>
                <w:rtl w:val="0"/>
              </w:rPr>
              <w:t xml:space="preserve">Εσθονία, Ισραήλ, Κορέα, Λετονία, Λουξεμβούργο, Πολωνία, Σλοβενία:</w:t>
            </w:r>
            <w:r w:rsidDel="00000000" w:rsidR="00000000" w:rsidRPr="00000000">
              <w:rPr>
                <w:rFonts w:ascii="Times New Roman" w:cs="Times New Roman" w:eastAsia="Times New Roman" w:hAnsi="Times New Roman"/>
                <w:rtl w:val="0"/>
              </w:rPr>
              <w:t xml:space="preserve"> Διασφαλίζεται η ελευθερία επιλογής παρόχου ή υπηρεσιών υγειονομικής περίθαλψης</w:t>
            </w:r>
          </w:p>
          <w:p w:rsidR="00000000" w:rsidDel="00000000" w:rsidP="00000000" w:rsidRDefault="00000000" w:rsidRPr="00000000" w14:paraId="000001B5">
            <w:pPr>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Τσεχική Δημοκρατία:</w:t>
            </w:r>
            <w:r w:rsidDel="00000000" w:rsidR="00000000" w:rsidRPr="00000000">
              <w:rPr>
                <w:rFonts w:ascii="Times New Roman" w:cs="Times New Roman" w:eastAsia="Times New Roman" w:hAnsi="Times New Roman"/>
                <w:rtl w:val="0"/>
              </w:rPr>
              <w:t xml:space="preserve"> Η επιλογή ενός παρόχου είναι εγγυημένη από το νόμο, αλλά μερικές φορές περιορίζεται από τη διαθεσιμότητα των υπηρεσιών.</w:t>
            </w:r>
          </w:p>
          <w:p w:rsidR="00000000" w:rsidDel="00000000" w:rsidP="00000000" w:rsidRDefault="00000000" w:rsidRPr="00000000" w14:paraId="000001B6">
            <w:pPr>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Δανία:</w:t>
            </w:r>
            <w:r w:rsidDel="00000000" w:rsidR="00000000" w:rsidRPr="00000000">
              <w:rPr>
                <w:rFonts w:ascii="Times New Roman" w:cs="Times New Roman" w:eastAsia="Times New Roman" w:hAnsi="Times New Roman"/>
                <w:rtl w:val="0"/>
              </w:rPr>
              <w:t xml:space="preserve"> Οι πολίτες που χρειάζονται νοσοκομειακή περίθαλψη μπορούν, εντός ορισμένων ορίων, να επιλέξουν ελεύθερα οποιοδήποτε δημόσιο νοσοκομείο και ορισμένα ιδιωτικά νοσοκομεία.</w:t>
            </w:r>
          </w:p>
          <w:p w:rsidR="00000000" w:rsidDel="00000000" w:rsidP="00000000" w:rsidRDefault="00000000" w:rsidRPr="00000000" w14:paraId="000001B7">
            <w:pPr>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Ισλανδία:</w:t>
            </w:r>
            <w:r w:rsidDel="00000000" w:rsidR="00000000" w:rsidRPr="00000000">
              <w:rPr>
                <w:rFonts w:ascii="Times New Roman" w:cs="Times New Roman" w:eastAsia="Times New Roman" w:hAnsi="Times New Roman"/>
                <w:rtl w:val="0"/>
              </w:rPr>
              <w:t xml:space="preserve"> Οι πολίτες μπορούν να επιλέξουν μεταξύ δημόσιας ή ιδιωτικής υπηρεσίας καθώς και συγκεκριμένου προσωπικού.</w:t>
            </w:r>
          </w:p>
          <w:p w:rsidR="00000000" w:rsidDel="00000000" w:rsidP="00000000" w:rsidRDefault="00000000" w:rsidRPr="00000000" w14:paraId="000001B8">
            <w:pPr>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Λιθουανία, Ολλανδία, Ελβετία:</w:t>
            </w:r>
            <w:r w:rsidDel="00000000" w:rsidR="00000000" w:rsidRPr="00000000">
              <w:rPr>
                <w:rFonts w:ascii="Times New Roman" w:cs="Times New Roman" w:eastAsia="Times New Roman" w:hAnsi="Times New Roman"/>
                <w:rtl w:val="0"/>
              </w:rPr>
              <w:t xml:space="preserve"> Οι πολίτες έχουν τη δυνατότητα ελεύθερης επιλογής, εκτός και εάν η θεραπεία είναι ακούσια.</w:t>
            </w:r>
          </w:p>
          <w:p w:rsidR="00000000" w:rsidDel="00000000" w:rsidP="00000000" w:rsidRDefault="00000000" w:rsidRPr="00000000" w14:paraId="000001B9">
            <w:pPr>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Νορβηγία:</w:t>
            </w:r>
            <w:r w:rsidDel="00000000" w:rsidR="00000000" w:rsidRPr="00000000">
              <w:rPr>
                <w:rFonts w:ascii="Times New Roman" w:cs="Times New Roman" w:eastAsia="Times New Roman" w:hAnsi="Times New Roman"/>
                <w:rtl w:val="0"/>
              </w:rPr>
              <w:t xml:space="preserve"> Οι πολίτες έχουν το δικαίωμα επιλογής παρόχου, μετά από παραπομπή που πραγματοποιείται από τους παρόχους πρωτοβάθμιας φροντίδας υγείας. Παρά ταύτα, υπάρχουν λίστες αναμονής και η επιλογή του παρόχου ή της υπηρεσίας γίνεται εντός συγκεκριμένων γεωγραφικών ορίων.</w:t>
            </w:r>
          </w:p>
        </w:tc>
      </w:tr>
      <w:tr>
        <w:trPr>
          <w:cantSplit w:val="0"/>
          <w:tblHeader w:val="0"/>
        </w:trPr>
        <w:tc>
          <w:tcPr>
            <w:tcBorders>
              <w:left w:color="000000" w:space="0" w:sz="0" w:val="nil"/>
            </w:tcBorders>
          </w:tcPr>
          <w:p w:rsidR="00000000" w:rsidDel="00000000" w:rsidP="00000000" w:rsidRDefault="00000000" w:rsidRPr="00000000" w14:paraId="000001B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Ναι, αλλά δε συμβαίνει πάντα</w:t>
            </w:r>
          </w:p>
        </w:tc>
        <w:tc>
          <w:tcPr>
            <w:tcBorders>
              <w:right w:color="000000" w:space="0" w:sz="0" w:val="nil"/>
            </w:tcBorders>
          </w:tcPr>
          <w:p w:rsidR="00000000" w:rsidDel="00000000" w:rsidP="00000000" w:rsidRDefault="00000000" w:rsidRPr="00000000" w14:paraId="000001BB">
            <w:pPr>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Αγγλία:</w:t>
            </w:r>
            <w:r w:rsidDel="00000000" w:rsidR="00000000" w:rsidRPr="00000000">
              <w:rPr>
                <w:rFonts w:ascii="Times New Roman" w:cs="Times New Roman" w:eastAsia="Times New Roman" w:hAnsi="Times New Roman"/>
                <w:rtl w:val="0"/>
              </w:rPr>
              <w:t xml:space="preserve"> Οι πολίτες έχουν το δικαίωμα επιλογής παρόχου υπηρεσιών ψυχικής υγείας στο πλαίσιο της δευτεροβάθμιας περίθαλψης. Στην πλειονότητα των περιπτώσεων ωστόσο, δεν ασκούν αυτό τους το δικαίωμα. </w:t>
            </w:r>
          </w:p>
          <w:p w:rsidR="00000000" w:rsidDel="00000000" w:rsidP="00000000" w:rsidRDefault="00000000" w:rsidRPr="00000000" w14:paraId="000001BC">
            <w:pPr>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Ιαπωνία:</w:t>
            </w:r>
            <w:r w:rsidDel="00000000" w:rsidR="00000000" w:rsidRPr="00000000">
              <w:rPr>
                <w:rFonts w:ascii="Times New Roman" w:cs="Times New Roman" w:eastAsia="Times New Roman" w:hAnsi="Times New Roman"/>
                <w:rtl w:val="0"/>
              </w:rPr>
              <w:t xml:space="preserve"> Οι πολίτες έχουν τη δυνατότητα επιλογής παρόχου, μετά από παραπομπή του θεράποντα ιατρού, εκτός εάν κάποιος έχει εισαχθεί ακούσια για νοσηλεία. </w:t>
            </w:r>
          </w:p>
        </w:tc>
      </w:tr>
      <w:tr>
        <w:trPr>
          <w:cantSplit w:val="0"/>
          <w:tblHeader w:val="0"/>
        </w:trPr>
        <w:tc>
          <w:tcPr>
            <w:tcBorders>
              <w:left w:color="000000" w:space="0" w:sz="0" w:val="nil"/>
            </w:tcBorders>
          </w:tcPr>
          <w:p w:rsidR="00000000" w:rsidDel="00000000" w:rsidP="00000000" w:rsidRDefault="00000000" w:rsidRPr="00000000" w14:paraId="000001B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Εξαρτάται από το πλαίσιο φροντίδας</w:t>
            </w:r>
          </w:p>
        </w:tc>
        <w:tc>
          <w:tcPr>
            <w:tcBorders>
              <w:right w:color="000000" w:space="0" w:sz="0" w:val="nil"/>
            </w:tcBorders>
          </w:tcPr>
          <w:p w:rsidR="00000000" w:rsidDel="00000000" w:rsidP="00000000" w:rsidRDefault="00000000" w:rsidRPr="00000000" w14:paraId="000001BE">
            <w:pPr>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Αυστρία:</w:t>
            </w:r>
            <w:r w:rsidDel="00000000" w:rsidR="00000000" w:rsidRPr="00000000">
              <w:rPr>
                <w:rFonts w:ascii="Times New Roman" w:cs="Times New Roman" w:eastAsia="Times New Roman" w:hAnsi="Times New Roman"/>
                <w:rtl w:val="0"/>
              </w:rPr>
              <w:t xml:space="preserve"> Οι πολίτες, έχουν τη δυνατότητα επιλογής παρόχων, εκτός από τα νοσοκομεία όπου η ευθύνη είναι περιφερειακή.</w:t>
            </w:r>
          </w:p>
          <w:p w:rsidR="00000000" w:rsidDel="00000000" w:rsidP="00000000" w:rsidRDefault="00000000" w:rsidRPr="00000000" w14:paraId="000001BF">
            <w:pPr>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Καναδάς:</w:t>
            </w:r>
            <w:r w:rsidDel="00000000" w:rsidR="00000000" w:rsidRPr="00000000">
              <w:rPr>
                <w:rFonts w:ascii="Times New Roman" w:cs="Times New Roman" w:eastAsia="Times New Roman" w:hAnsi="Times New Roman"/>
                <w:rtl w:val="0"/>
              </w:rPr>
              <w:t xml:space="preserve"> Οι πολίτες, έχουν τη δυνατότητα επιλογής παρόχων, σε κάποιες επαρχίες ή παρόχους υπηρεσιών. </w:t>
            </w:r>
          </w:p>
          <w:p w:rsidR="00000000" w:rsidDel="00000000" w:rsidP="00000000" w:rsidRDefault="00000000" w:rsidRPr="00000000" w14:paraId="000001C0">
            <w:pPr>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Πορτογαλία, Ελλάδα, Ιρλανδία, Τουρκία: </w:t>
            </w:r>
            <w:r w:rsidDel="00000000" w:rsidR="00000000" w:rsidRPr="00000000">
              <w:rPr>
                <w:rFonts w:ascii="Times New Roman" w:cs="Times New Roman" w:eastAsia="Times New Roman" w:hAnsi="Times New Roman"/>
                <w:rtl w:val="0"/>
              </w:rPr>
              <w:t xml:space="preserve">Στο πλαίσιο των δημόσιων παρόχων υπηρεσιών ψυχικής υγείας δεν υπάρχει η δυνατότητα επιλογής. Παρά ταύτα, οι πολίτες μπορούν να επιλέξουν ιδιωτικούς παρόχους υπηρεσιών ψυχικής υγείας εάν το επιθυμούν, χωρίς περιορισμούς.</w:t>
            </w:r>
          </w:p>
          <w:p w:rsidR="00000000" w:rsidDel="00000000" w:rsidP="00000000" w:rsidRDefault="00000000" w:rsidRPr="00000000" w14:paraId="000001C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tc>
      </w:tr>
      <w:tr>
        <w:trPr>
          <w:cantSplit w:val="0"/>
          <w:trHeight w:val="733" w:hRule="atLeast"/>
          <w:tblHeader w:val="0"/>
        </w:trPr>
        <w:tc>
          <w:tcPr>
            <w:tcBorders>
              <w:left w:color="000000" w:space="0" w:sz="0" w:val="nil"/>
              <w:bottom w:color="000000" w:space="0" w:sz="0" w:val="nil"/>
            </w:tcBorders>
          </w:tcPr>
          <w:p w:rsidR="00000000" w:rsidDel="00000000" w:rsidP="00000000" w:rsidRDefault="00000000" w:rsidRPr="00000000" w14:paraId="000001C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Εξαρτάται από την περιοχή</w:t>
            </w:r>
          </w:p>
        </w:tc>
        <w:tc>
          <w:tcPr>
            <w:tcBorders>
              <w:bottom w:color="000000" w:space="0" w:sz="0" w:val="nil"/>
              <w:right w:color="000000" w:space="0" w:sz="0" w:val="nil"/>
            </w:tcBorders>
          </w:tcPr>
          <w:p w:rsidR="00000000" w:rsidDel="00000000" w:rsidP="00000000" w:rsidRDefault="00000000" w:rsidRPr="00000000" w14:paraId="000001C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Καναδάς, Ιταλία: </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Η δυνατότητα επιλογής φορέα ή υπηρεσιών, εξαρτάται από το τοπικό πλαίσιο.</w:t>
            </w: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 </w:t>
            </w:r>
          </w:p>
        </w:tc>
      </w:tr>
    </w:tbl>
    <w:p w:rsidR="00000000" w:rsidDel="00000000" w:rsidP="00000000" w:rsidRDefault="00000000" w:rsidRPr="00000000" w14:paraId="000001C4">
      <w:pPr>
        <w:spacing w:after="12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Πηγή:</w:t>
      </w:r>
      <w:r w:rsidDel="00000000" w:rsidR="00000000" w:rsidRPr="00000000">
        <w:rPr>
          <w:rFonts w:ascii="Times New Roman" w:cs="Times New Roman" w:eastAsia="Times New Roman" w:hAnsi="Times New Roman"/>
          <w:sz w:val="20"/>
          <w:szCs w:val="20"/>
          <w:rtl w:val="0"/>
        </w:rPr>
        <w:t xml:space="preserve"> OECD (2021), A New Benchmark for Mental Health Systems (ιδία επεξεργασία)</w:t>
      </w:r>
    </w:p>
    <w:p w:rsidR="00000000" w:rsidDel="00000000" w:rsidP="00000000" w:rsidRDefault="00000000" w:rsidRPr="00000000" w14:paraId="000001C5">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Σε διάφορες χώρες, όπως είναι η Αυστραλία, το Βέλγιο, η Κορέα, το Λουξεμβούργο και Δανία, οι πολίτες μπορούν να επιλέξουν ελεύθερα τους παρόχους υπηρεσιών ψυχικής υγείας, τόσο σε δημόσιο όσο και σε ιδιωτικό επίπεδο. Στη χώρα μας, δεν υπάρχει δυνατότητα επιλογής συγκεκριμένου παρόχου στο πλαίσιο του δημοσίου τομέα, καθώς είναι πολύ συγκεκριμένοι οι διαθέσιμοι φορείς, ενώ οι πολίτες μπορούν να επιλέξουν ελεύθερα οποιοδήποτε ιδιωτικό φορέα, χωρίς περιορισμό ή υποχρέωση παραπομπής, με κόστος το οποίο επιβαρύνονται οι ίδιοι. </w:t>
      </w:r>
    </w:p>
    <w:p w:rsidR="00000000" w:rsidDel="00000000" w:rsidP="00000000" w:rsidRDefault="00000000" w:rsidRPr="00000000" w14:paraId="000001C6">
      <w:pPr>
        <w:pStyle w:val="Heading2"/>
        <w:jc w:val="center"/>
        <w:rPr>
          <w:rFonts w:ascii="Times New Roman" w:cs="Times New Roman" w:eastAsia="Times New Roman" w:hAnsi="Times New Roman"/>
          <w:i w:val="1"/>
          <w:color w:val="000000"/>
          <w:sz w:val="24"/>
          <w:szCs w:val="24"/>
        </w:rPr>
      </w:pPr>
      <w:bookmarkStart w:colFirst="0" w:colLast="0" w:name="_heading=h.2bn6wsx" w:id="25"/>
      <w:bookmarkEnd w:id="25"/>
      <w:r w:rsidDel="00000000" w:rsidR="00000000" w:rsidRPr="00000000">
        <w:rPr>
          <w:rFonts w:ascii="Times New Roman" w:cs="Times New Roman" w:eastAsia="Times New Roman" w:hAnsi="Times New Roman"/>
          <w:i w:val="1"/>
          <w:color w:val="000000"/>
          <w:sz w:val="24"/>
          <w:szCs w:val="24"/>
          <w:rtl w:val="0"/>
        </w:rPr>
        <w:t xml:space="preserve">4.1.2. Ανθρωποκεντρικές υπηρεσίες ψυχικής υγείας</w:t>
      </w:r>
    </w:p>
    <w:p w:rsidR="00000000" w:rsidDel="00000000" w:rsidP="00000000" w:rsidRDefault="00000000" w:rsidRPr="00000000" w14:paraId="000001C7">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Η ανθρωποκεντρική φροντίδα της ψυχικής υγείας, αποτελεί ένα σημαντικό στόχο πολιτικής ανάμεσα στις χώρες του ΟΟΣΑ, παραμένοντας ωστόσο μια σημαντική πρόκληση, παρότι αποτελεί μια στρατηγική προτεραιότητα στις πολιτικές και τον σχεδιασμό για την ψυχική υγεία (OECD, 2021). Η ατομοκεντρική φροντίδα και η διασφάλιση ότι η άποψη των ληπτών υπηρεσιών ψυχικής υγείας λαμβάνεται υπόψη είναι καίριας σημασίας στο πλαίσιο της ανθρωποκεντρικής πολιτικής. Ο βαθμός συμμετοχής των ληπτών υπηρεσιών ψυχικής υγείας, φαίνεται να διαφέρει ανάμεσα στις χώρες του ΟΟΣΑ, καθώς στην πλειοψηφία των χωρών απαιτείται η συμμετοχή τους ή συνιστάται ανεπιφύλακτα, σε άλλες δεν απαιτείται και σε κάποιες άλλες χώρες, εξαρτάται από το περιβάλλον φροντίδας (Εικόνα 4.1). </w:t>
      </w:r>
    </w:p>
    <w:p w:rsidR="00000000" w:rsidDel="00000000" w:rsidP="00000000" w:rsidRDefault="00000000" w:rsidRPr="00000000" w14:paraId="000001C8">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Για παράδειγμα, στον Καναδά, όπου η παροχή υπηρεσιών υγείας αποτελεί ευθύνη των παρόχων σε τοπικό ή περιφερειακό επίπεδο, η συμμετοχή των ληπτών υπηρεσιών υγείας στα σχέδια περίθαλψης, ποικίλλει και είναι υποχρεωτική μόνο σε ορισμένες περιπτώσεις, όπως σε ορισμένες επαρχίες ή σε συγκεκριμένους οργανισμούς (OECD, 2021). Σε άλλες χώρες όπως η Ελβετία, η συμμετοχή των χρηστών υπηρεσιών προτείνεται στο πλαίσιο των κατευθυντήριων γραμμών,  αλλά δεν είναι υποχρεωτική. Στην Ιαπωνία, οι πάροχοι των υπηρεσιών ψυχικής υγείας είναι υποχρεωμένοι να καταρτίσουν ένα σχέδιο ενδονοσοκομειακής περίθαλψης και να το παραδώσουν στον ασθενή ή την οικογένεια με επαρκή εξήγηση, αλλά δεν είναι υποχρεωμένοι να εμπλέξουν τον λήπτη των υπηρεσιών στις διαδικασίες λήψης αποφάσεων. Σε άλλες χώρες, όπως είναι η Νέα Ζηλανδία, έχει τεθεί ως στόχος, η πλειοψηφία των ληπτών υπηρεσιών ψυχικής υγείας να είναι βασικοί φορείς στη λήψη αποφάσεων σχετικά με τη φροντίδα τους (OECD, 2021).</w:t>
      </w:r>
    </w:p>
    <w:p w:rsidR="00000000" w:rsidDel="00000000" w:rsidP="00000000" w:rsidRDefault="00000000" w:rsidRPr="00000000" w14:paraId="000001C9">
      <w:pPr>
        <w:spacing w:line="276" w:lineRule="auto"/>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b w:val="1"/>
          <w:sz w:val="24"/>
          <w:szCs w:val="24"/>
          <w:rtl w:val="0"/>
        </w:rPr>
        <w:t xml:space="preserve">Εικόνα 4.1.</w:t>
      </w:r>
      <w:r w:rsidDel="00000000" w:rsidR="00000000" w:rsidRPr="00000000">
        <w:rPr>
          <w:rFonts w:ascii="Times New Roman" w:cs="Times New Roman" w:eastAsia="Times New Roman" w:hAnsi="Times New Roman"/>
          <w:sz w:val="24"/>
          <w:szCs w:val="24"/>
          <w:rtl w:val="0"/>
        </w:rPr>
        <w:t xml:space="preserve"> Απαιτούμενη συμμετοχή του λήπτη των υπηρεσιών ή του εκπροσώπου του στο σχέδιο υγειονομικής περίθαλψης</w:t>
      </w:r>
      <w:r w:rsidDel="00000000" w:rsidR="00000000" w:rsidRPr="00000000">
        <w:rPr>
          <w:sz w:val="28"/>
          <w:szCs w:val="28"/>
        </w:rPr>
        <w:drawing>
          <wp:inline distB="0" distT="0" distL="0" distR="0">
            <wp:extent cx="4679950" cy="4086225"/>
            <wp:docPr id="37" name=""/>
            <a:graphic>
              <a:graphicData uri="http://schemas.openxmlformats.org/drawingml/2006/chart">
                <c:chart r:id="rId10"/>
              </a:graphicData>
            </a:graphic>
          </wp:inline>
        </w:drawing>
      </w:r>
      <w:r w:rsidDel="00000000" w:rsidR="00000000" w:rsidRPr="00000000">
        <w:rPr>
          <w:rtl w:val="0"/>
        </w:rPr>
      </w:r>
    </w:p>
    <w:p w:rsidR="00000000" w:rsidDel="00000000" w:rsidP="00000000" w:rsidRDefault="00000000" w:rsidRPr="00000000" w14:paraId="000001CA">
      <w:pPr>
        <w:spacing w:after="12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Πηγή:</w:t>
      </w:r>
      <w:r w:rsidDel="00000000" w:rsidR="00000000" w:rsidRPr="00000000">
        <w:rPr>
          <w:rFonts w:ascii="Times New Roman" w:cs="Times New Roman" w:eastAsia="Times New Roman" w:hAnsi="Times New Roman"/>
          <w:sz w:val="20"/>
          <w:szCs w:val="20"/>
          <w:rtl w:val="0"/>
        </w:rPr>
        <w:t xml:space="preserve"> OECD (2021), A New Benchmark for Mental Health Systems (ιδία επεξεργασία)</w:t>
      </w:r>
    </w:p>
    <w:p w:rsidR="00000000" w:rsidDel="00000000" w:rsidP="00000000" w:rsidRDefault="00000000" w:rsidRPr="00000000" w14:paraId="000001C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Στη χώρα μας, όπως φαίνεται και στην εικόνα 4.1, είναι υποχρεωτική η συμμετοχή των ληπτών υπηρεσιών ψυχικής υγείας ή των εκπροσώπων τους στη λήψη αποφάσεων σχετικά με το σχέδιο φροντίδας τους. Η συμμετοχή της οικογένειας των ληπτών ή των φροντιστών τους στο σχέδιο φροντίδας, δεν είναι υποχρεωτική και εξαρτάται από το πλαίσιο φροντίδας. Τέλος, το σχέδιο φροντίδας δεν περιλαμβάνει κανένα ζήτημα που αφορά ενδεχόμενη επαγγελματική αποκατάσταση, ζητήματα που αφορούν την εκπαίδευση ή άλλα προβλήματα, εστιάζοντας κατά κύριο λόγο στη θεραπεία και αποκατάσταση της ψυχικής υγείας του ατόμου. </w:t>
      </w:r>
    </w:p>
    <w:p w:rsidR="00000000" w:rsidDel="00000000" w:rsidP="00000000" w:rsidRDefault="00000000" w:rsidRPr="00000000" w14:paraId="000001C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C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CE">
      <w:pPr>
        <w:pStyle w:val="Heading2"/>
        <w:jc w:val="center"/>
        <w:rPr>
          <w:rFonts w:ascii="Times New Roman" w:cs="Times New Roman" w:eastAsia="Times New Roman" w:hAnsi="Times New Roman"/>
          <w:i w:val="1"/>
          <w:color w:val="000000"/>
          <w:sz w:val="24"/>
          <w:szCs w:val="24"/>
        </w:rPr>
      </w:pPr>
      <w:bookmarkStart w:colFirst="0" w:colLast="0" w:name="_heading=h.qsh70q" w:id="26"/>
      <w:bookmarkEnd w:id="26"/>
      <w:r w:rsidDel="00000000" w:rsidR="00000000" w:rsidRPr="00000000">
        <w:rPr>
          <w:rFonts w:ascii="Times New Roman" w:cs="Times New Roman" w:eastAsia="Times New Roman" w:hAnsi="Times New Roman"/>
          <w:i w:val="1"/>
          <w:color w:val="000000"/>
          <w:sz w:val="24"/>
          <w:szCs w:val="24"/>
          <w:rtl w:val="0"/>
        </w:rPr>
        <w:t xml:space="preserve">4.1.3. Προστασία απέναντι στην ακούσια νοσηλεία</w:t>
      </w:r>
    </w:p>
    <w:p w:rsidR="00000000" w:rsidDel="00000000" w:rsidP="00000000" w:rsidRDefault="00000000" w:rsidRPr="00000000" w14:paraId="000001CF">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Η ακούσια φροντίδα για την ψυχική υγεία, απαιτεί μια εξαιρετικά προσεκτική διαχείριση και δεν πρέπει να αναιρεί την ανθρωποκεντρική προσέγγιση. Η ακούσια νοσηλεία ή η υποχρεωτική εισαγωγή, πραγματοποιείται παρά τη θέληση ενός ατόμου, όταν αντιμετωπίζει σοβαρά προβλήματα ψυχικής υγείας και αρνείται να λάβει θεραπεία, συχνά σε νοσοκομειακό περιβάλλον (Saya, Brugnoli, Piazzi et al., 2019). Για κάθε χώρα, υπάρχει συγκεκριμένο νομοθετικό πλαίσιο που ορίζει τις συγκεκριμένες διαδικασίες. </w:t>
      </w:r>
    </w:p>
    <w:p w:rsidR="00000000" w:rsidDel="00000000" w:rsidP="00000000" w:rsidRDefault="00000000" w:rsidRPr="00000000" w14:paraId="000001D0">
      <w:pPr>
        <w:ind w:firstLine="720"/>
        <w:rPr/>
      </w:pPr>
      <w:r w:rsidDel="00000000" w:rsidR="00000000" w:rsidRPr="00000000">
        <w:rPr>
          <w:rFonts w:ascii="Times New Roman" w:cs="Times New Roman" w:eastAsia="Times New Roman" w:hAnsi="Times New Roman"/>
          <w:sz w:val="24"/>
          <w:szCs w:val="24"/>
          <w:rtl w:val="0"/>
        </w:rPr>
        <w:t xml:space="preserve">Παρά τις προσπάθειες για μια διεθνή τυποποίηση του νομικού πλαισίου για την ακούσια νοσηλεία,  οι νόμοι είναι διαφορετικοί μεταξύ των χωρών, ανάλογα με τους ιστορικούς και τους πολιτιστικούς παράγοντες. Οι διαφοροποιήσεις, σχετίζονται τόσο με τους εμπλεκόμενους στην ακούσια εισαγωγή, όσο και με τα κριτήρια που χρησιμοποιούνται. Για παράδειγμα, ο ΠΟΥ έχει αναφέρει ότι σε πολλές «φτωχές» χώρες, όπου υπάρχουν λίγοι ψυχίατροι, είναι αρκετά δύσκολο να πιστοποιηθεί από δύο ψυχιάτρους η ακούσια εισαγωγή (WHO, 2003). Παρότι στα κράτη μέλη της Ευρωπαϊκής Ένωσης (ΕΕ), απαιτείται η αξιολόγηση και η γνωμάτευση από ψυχιάτρους προκειμένου να πραγματοποιηθεί μια ακούσια εισαγωγή, οι κανονισμοί σχετικά με την αξιολόγηση των έκτακτων αναγκών, διαφέρουν μεταξύ των χωρών (Zhang, Mellsop, Brink &amp; Wang, 2015). Στη Γαλλία και στη Γερμανία,  οποιοσδήποτε γιατρός μπορεί να κάνει μια επείγουσα ψυχιατρική αξιολόγηση, ενώ στην Αυστρία, στην Ελλάδα, στην Ιρλανδία, στην Ολλανδία, στην Πορτογαλία, στην Ισπανία και στο Ηνωμένο Βασίλειο, η αξιολόγηση πραγματοποιείται μόνο από πιστοποιημένο ψυχίατρο. Τα κριτήρια «επικινδυνότητας» ποικίλλουν επίσης ανά χώρα, καθώς είναι επαρκή για ακούσια εισαγωγή στη Φινλανδία, στην Ελλάδα, στην Ιρλανδία, στην Πορτογαλία και στο Ηνωμένο Βασίλειο, ενώ στην Ιταλία, στην Ισπανία και στη Σουηδία, η «επικινδυνότητα» δε θεωρείται κριτήριο εισαγωγής. Η ύπαρξη ενός σοβαρού προβλήματος ψυχικής υγείας, είναι απαραίτητη προϋπόθεση για την ακούσια νοσηλεία σε όλες τις χώρες, ωστόσο η διάγνωση και η βαρύτητα των συμπτωμάτων, διαφέρουν στις διάφορες ασθένειες, όπως είναι η ψύχωση (Zhang et al., 2015).</w:t>
      </w:r>
      <w:r w:rsidDel="00000000" w:rsidR="00000000" w:rsidRPr="00000000">
        <w:rPr>
          <w:rtl w:val="0"/>
        </w:rPr>
        <w:t xml:space="preserve"> </w:t>
      </w:r>
    </w:p>
    <w:p w:rsidR="00000000" w:rsidDel="00000000" w:rsidP="00000000" w:rsidRDefault="00000000" w:rsidRPr="00000000" w14:paraId="000001D1">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Οι διαφορές στα νομικά πλαίσια μεταξύ των χωρών του ΟΟΣΑ αντικατοπτρίζονται στις διαφορές που παρατηρούνται στις ημέρες όπου ένα άτομο μπορεί να κρατηθεί ακούσια, χωρίς να υπάρξει έλεγχος από ένα δικαστή (Εικόνα 4.2). Η Σλοβενία, το Μεξικό, το Λουξεμβούργο και το Βέλγιο, επιτρέπει να κρατούν ακούσια ένα άτομο για 24 ώρες το πολύ, πριν γίνει εξέταση από έναν δικαστή. Στο Ισραήλ και στην Τσεχική Δημοκρατία, οι άνθρωποι μπορούν να κρατηθούν ακούσια για έως και επτά ημέρες πριν από την εξέταση από δικαστή.</w:t>
      </w:r>
    </w:p>
    <w:p w:rsidR="00000000" w:rsidDel="00000000" w:rsidP="00000000" w:rsidRDefault="00000000" w:rsidRPr="00000000" w14:paraId="000001D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Εικόνα 4.2.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Ημέρες που μπορεί κάποιο άτομο να κρατηθεί ακούσια χωρίς έλεγχο από δικαστή</w:t>
      </w:r>
    </w:p>
    <w:p w:rsidR="00000000" w:rsidDel="00000000" w:rsidP="00000000" w:rsidRDefault="00000000" w:rsidRPr="00000000" w14:paraId="000001D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0" distT="0" distL="0" distR="0">
            <wp:extent cx="4769485" cy="2896235"/>
            <wp:docPr id="36" name=""/>
            <a:graphic>
              <a:graphicData uri="http://schemas.openxmlformats.org/drawingml/2006/chart">
                <c:chart r:id="rId11"/>
              </a:graphicData>
            </a:graphic>
          </wp:inline>
        </w:drawing>
      </w:r>
      <w:r w:rsidDel="00000000" w:rsidR="00000000" w:rsidRPr="00000000">
        <w:rPr>
          <w:rtl w:val="0"/>
        </w:rPr>
      </w:r>
    </w:p>
    <w:tbl>
      <w:tblPr>
        <w:tblStyle w:val="Table6"/>
        <w:tblW w:w="7585.999999999999" w:type="dxa"/>
        <w:jc w:val="left"/>
        <w:tblInd w:w="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2376"/>
        <w:gridCol w:w="1701"/>
        <w:gridCol w:w="1631"/>
        <w:gridCol w:w="1878"/>
        <w:tblGridChange w:id="0">
          <w:tblGrid>
            <w:gridCol w:w="2376"/>
            <w:gridCol w:w="1701"/>
            <w:gridCol w:w="1631"/>
            <w:gridCol w:w="1878"/>
          </w:tblGrid>
        </w:tblGridChange>
      </w:tblGrid>
      <w:tr>
        <w:trPr>
          <w:cantSplit w:val="0"/>
          <w:tblHeader w:val="0"/>
        </w:trPr>
        <w:tc>
          <w:tcPr/>
          <w:p w:rsidR="00000000" w:rsidDel="00000000" w:rsidP="00000000" w:rsidRDefault="00000000" w:rsidRPr="00000000" w14:paraId="000001D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18"/>
                <w:szCs w:val="1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18"/>
                <w:szCs w:val="18"/>
                <w:u w:val="none"/>
                <w:shd w:fill="auto" w:val="clear"/>
                <w:vertAlign w:val="baseline"/>
                <w:rtl w:val="0"/>
              </w:rPr>
              <w:t xml:space="preserve">       24 ώρες ή λιγότερο</w:t>
            </w:r>
          </w:p>
        </w:tc>
        <w:tc>
          <w:tcPr/>
          <w:p w:rsidR="00000000" w:rsidDel="00000000" w:rsidP="00000000" w:rsidRDefault="00000000" w:rsidRPr="00000000" w14:paraId="000001D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i w:val="0"/>
                <w:smallCaps w:val="0"/>
                <w:strike w:val="0"/>
                <w:color w:val="000000"/>
                <w:sz w:val="18"/>
                <w:szCs w:val="1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18"/>
                <w:szCs w:val="18"/>
                <w:u w:val="none"/>
                <w:shd w:fill="auto" w:val="clear"/>
                <w:vertAlign w:val="baseline"/>
                <w:rtl w:val="0"/>
              </w:rPr>
              <w:t xml:space="preserve">      1-3 ημέρες</w:t>
            </w:r>
          </w:p>
        </w:tc>
        <w:tc>
          <w:tcPr/>
          <w:p w:rsidR="00000000" w:rsidDel="00000000" w:rsidP="00000000" w:rsidRDefault="00000000" w:rsidRPr="00000000" w14:paraId="000001D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18"/>
                <w:szCs w:val="1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18"/>
                <w:szCs w:val="18"/>
                <w:u w:val="none"/>
                <w:shd w:fill="auto" w:val="clear"/>
                <w:vertAlign w:val="baseline"/>
                <w:rtl w:val="0"/>
              </w:rPr>
              <w:t xml:space="preserve"> 3-7 ημέρες</w:t>
            </w:r>
          </w:p>
        </w:tc>
        <w:tc>
          <w:tcPr/>
          <w:p w:rsidR="00000000" w:rsidDel="00000000" w:rsidP="00000000" w:rsidRDefault="00000000" w:rsidRPr="00000000" w14:paraId="000001D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18"/>
                <w:szCs w:val="1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18"/>
                <w:szCs w:val="18"/>
                <w:u w:val="none"/>
                <w:shd w:fill="auto" w:val="clear"/>
                <w:vertAlign w:val="baseline"/>
                <w:rtl w:val="0"/>
              </w:rPr>
              <w:t xml:space="preserve">  Άλλο</w:t>
            </w:r>
          </w:p>
        </w:tc>
      </w:tr>
    </w:tbl>
    <w:p w:rsidR="00000000" w:rsidDel="00000000" w:rsidP="00000000" w:rsidRDefault="00000000" w:rsidRPr="00000000" w14:paraId="000001D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120" w:line="240" w:lineRule="auto"/>
        <w:ind w:left="0" w:right="0"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Πηγή:</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OECD (2021), A New Benchmark for Mental Health Systems (ιδία επεξεργασία); Oikonomou, Lazaratou &amp; Ploumbidis (2018)</w:t>
      </w:r>
    </w:p>
    <w:p w:rsidR="00000000" w:rsidDel="00000000" w:rsidP="00000000" w:rsidRDefault="00000000" w:rsidRPr="00000000" w14:paraId="000001D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DA">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Στη χώρα μας, δεν προβλέπεται η εξέταση από ένα δικαστή μετά από την ακούσια εισαγωγή ενός ασθενούς σε μια ψυχιατρική δομή. Σύμφωνα με τον Άτλαντα Ψυχικής Υγείας του 2017, το 2016, το ποσοστό των ακούσιων εισαγωγών στα δύο μεγαλύτερα ψυχιατρικά νοσοκομεία των Αθηνών, ήταν 50% και 54% αντίστοιχα, ενώ το ποσοστό ακούσιας κράτησης ασθενών στα ψυχιατρικά τμήματα των γενικών νοσοκομείων ανερχόταν στο 35% (Oikonomou, Lazaratou &amp; Ploumbidis, 2018).</w:t>
      </w:r>
    </w:p>
    <w:p w:rsidR="00000000" w:rsidDel="00000000" w:rsidP="00000000" w:rsidRDefault="00000000" w:rsidRPr="00000000" w14:paraId="000001DB">
      <w:pPr>
        <w:pStyle w:val="Heading2"/>
        <w:jc w:val="center"/>
        <w:rPr>
          <w:rFonts w:ascii="Times New Roman" w:cs="Times New Roman" w:eastAsia="Times New Roman" w:hAnsi="Times New Roman"/>
          <w:i w:val="1"/>
          <w:color w:val="000000"/>
          <w:sz w:val="24"/>
          <w:szCs w:val="24"/>
        </w:rPr>
      </w:pPr>
      <w:bookmarkStart w:colFirst="0" w:colLast="0" w:name="_heading=h.3as4poj" w:id="27"/>
      <w:bookmarkEnd w:id="27"/>
      <w:r w:rsidDel="00000000" w:rsidR="00000000" w:rsidRPr="00000000">
        <w:rPr>
          <w:rFonts w:ascii="Times New Roman" w:cs="Times New Roman" w:eastAsia="Times New Roman" w:hAnsi="Times New Roman"/>
          <w:i w:val="1"/>
          <w:color w:val="000000"/>
          <w:sz w:val="24"/>
          <w:szCs w:val="24"/>
          <w:rtl w:val="0"/>
        </w:rPr>
        <w:t xml:space="preserve">4.1.4. Πολιτικές για την ψυχική υγεία συγκεκριμένων ομάδων πληθυσμού </w:t>
      </w:r>
    </w:p>
    <w:p w:rsidR="00000000" w:rsidDel="00000000" w:rsidP="00000000" w:rsidRDefault="00000000" w:rsidRPr="00000000" w14:paraId="000001DC">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Πολλές χώρες, έχουν εισαγάγει στρατηγικές για την ψυχική υγεία συγκεκριμένων πληθυσμών προτεραιότητας (Εικόνα 4.3). Ωστόσο, συγκεκριμένες πληθυσμιακές ομάδες, εμφανίζουν δυσανάλογα χαμηλότερη αντιπροσώπευση στις πολιτικές για την ψυχική υγεία. Ως εκ τούτου, είναι αναγκαία η δέσμευση για την υποστήριξη και τη δημιουργία υπηρεσιών ειδικά σχεδιασμένων για μειονοτικές ομάδες και ομάδες προτεραιότητας.</w:t>
      </w:r>
    </w:p>
    <w:p w:rsidR="00000000" w:rsidDel="00000000" w:rsidP="00000000" w:rsidRDefault="00000000" w:rsidRPr="00000000" w14:paraId="000001D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Εικόνα 4.3.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Σχέδια ψυχικής υγείας ή στρατηγικές για εθνικά καθορισμένες ομάδες πληθυσμού προτεραιότητας</w:t>
      </w:r>
      <w:r w:rsidDel="00000000" w:rsidR="00000000" w:rsidRPr="00000000">
        <w:rPr>
          <w:rtl w:val="0"/>
        </w:rPr>
      </w:r>
    </w:p>
    <w:p w:rsidR="00000000" w:rsidDel="00000000" w:rsidP="00000000" w:rsidRDefault="00000000" w:rsidRPr="00000000" w14:paraId="000001D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0" distT="0" distL="0" distR="0">
            <wp:extent cx="4679950" cy="2781300"/>
            <wp:docPr id="39" name=""/>
            <a:graphic>
              <a:graphicData uri="http://schemas.openxmlformats.org/drawingml/2006/chart">
                <c:chart r:id="rId12"/>
              </a:graphicData>
            </a:graphic>
          </wp:inline>
        </w:drawing>
      </w:r>
      <w:r w:rsidDel="00000000" w:rsidR="00000000" w:rsidRPr="00000000">
        <w:rPr>
          <w:rtl w:val="0"/>
        </w:rPr>
      </w:r>
    </w:p>
    <w:tbl>
      <w:tblPr>
        <w:tblStyle w:val="Table7"/>
        <w:tblW w:w="7118.0" w:type="dxa"/>
        <w:jc w:val="left"/>
        <w:tblInd w:w="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817"/>
        <w:gridCol w:w="459"/>
        <w:gridCol w:w="533"/>
        <w:gridCol w:w="459"/>
        <w:gridCol w:w="567"/>
        <w:gridCol w:w="567"/>
        <w:gridCol w:w="406"/>
        <w:gridCol w:w="662"/>
        <w:gridCol w:w="474"/>
        <w:gridCol w:w="654"/>
        <w:gridCol w:w="473"/>
        <w:gridCol w:w="480"/>
        <w:gridCol w:w="567"/>
        <w:tblGridChange w:id="0">
          <w:tblGrid>
            <w:gridCol w:w="817"/>
            <w:gridCol w:w="459"/>
            <w:gridCol w:w="533"/>
            <w:gridCol w:w="459"/>
            <w:gridCol w:w="567"/>
            <w:gridCol w:w="567"/>
            <w:gridCol w:w="406"/>
            <w:gridCol w:w="662"/>
            <w:gridCol w:w="474"/>
            <w:gridCol w:w="654"/>
            <w:gridCol w:w="473"/>
            <w:gridCol w:w="480"/>
            <w:gridCol w:w="567"/>
          </w:tblGrid>
        </w:tblGridChange>
      </w:tblGrid>
      <w:tr>
        <w:trPr>
          <w:cantSplit w:val="1"/>
          <w:trHeight w:val="1550" w:hRule="atLeast"/>
          <w:tblHeader w:val="0"/>
        </w:trPr>
        <w:tc>
          <w:tcPr>
            <w:vAlign w:val="center"/>
          </w:tcPr>
          <w:p w:rsidR="00000000" w:rsidDel="00000000" w:rsidP="00000000" w:rsidRDefault="00000000" w:rsidRPr="00000000" w14:paraId="000001D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13" w:right="113" w:firstLine="0"/>
              <w:jc w:val="center"/>
              <w:rPr>
                <w:rFonts w:ascii="Times New Roman" w:cs="Times New Roman" w:eastAsia="Times New Roman" w:hAnsi="Times New Roman"/>
                <w:b w:val="1"/>
                <w:i w:val="0"/>
                <w:smallCaps w:val="0"/>
                <w:strike w:val="0"/>
                <w:color w:val="000000"/>
                <w:sz w:val="16"/>
                <w:szCs w:val="16"/>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16"/>
                <w:szCs w:val="16"/>
                <w:u w:val="none"/>
                <w:shd w:fill="auto" w:val="clear"/>
                <w:vertAlign w:val="baseline"/>
                <w:rtl w:val="0"/>
              </w:rPr>
              <w:t xml:space="preserve">Παιδιά &amp; νέους ανθρώπους</w:t>
            </w:r>
          </w:p>
        </w:tc>
        <w:tc>
          <w:tcPr>
            <w:vAlign w:val="center"/>
          </w:tcPr>
          <w:p w:rsidR="00000000" w:rsidDel="00000000" w:rsidP="00000000" w:rsidRDefault="00000000" w:rsidRPr="00000000" w14:paraId="000001E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13" w:right="113" w:firstLine="0"/>
              <w:jc w:val="center"/>
              <w:rPr>
                <w:rFonts w:ascii="Times New Roman" w:cs="Times New Roman" w:eastAsia="Times New Roman" w:hAnsi="Times New Roman"/>
                <w:b w:val="1"/>
                <w:i w:val="0"/>
                <w:smallCaps w:val="0"/>
                <w:strike w:val="0"/>
                <w:color w:val="000000"/>
                <w:sz w:val="16"/>
                <w:szCs w:val="16"/>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16"/>
                <w:szCs w:val="16"/>
                <w:u w:val="none"/>
                <w:shd w:fill="auto" w:val="clear"/>
                <w:vertAlign w:val="baseline"/>
                <w:rtl w:val="0"/>
              </w:rPr>
              <w:t xml:space="preserve">Γυναίκες</w:t>
            </w:r>
          </w:p>
        </w:tc>
        <w:tc>
          <w:tcPr>
            <w:vAlign w:val="center"/>
          </w:tcPr>
          <w:p w:rsidR="00000000" w:rsidDel="00000000" w:rsidP="00000000" w:rsidRDefault="00000000" w:rsidRPr="00000000" w14:paraId="000001E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13" w:right="113" w:firstLine="0"/>
              <w:jc w:val="center"/>
              <w:rPr>
                <w:rFonts w:ascii="Times New Roman" w:cs="Times New Roman" w:eastAsia="Times New Roman" w:hAnsi="Times New Roman"/>
                <w:b w:val="1"/>
                <w:i w:val="0"/>
                <w:smallCaps w:val="0"/>
                <w:strike w:val="0"/>
                <w:color w:val="000000"/>
                <w:sz w:val="16"/>
                <w:szCs w:val="16"/>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16"/>
                <w:szCs w:val="16"/>
                <w:u w:val="none"/>
                <w:shd w:fill="auto" w:val="clear"/>
                <w:vertAlign w:val="baseline"/>
                <w:rtl w:val="0"/>
              </w:rPr>
              <w:t xml:space="preserve">Ηλικιωμένους</w:t>
            </w:r>
          </w:p>
        </w:tc>
        <w:tc>
          <w:tcPr>
            <w:vAlign w:val="center"/>
          </w:tcPr>
          <w:p w:rsidR="00000000" w:rsidDel="00000000" w:rsidP="00000000" w:rsidRDefault="00000000" w:rsidRPr="00000000" w14:paraId="000001E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13" w:right="113" w:firstLine="0"/>
              <w:jc w:val="center"/>
              <w:rPr>
                <w:rFonts w:ascii="Times New Roman" w:cs="Times New Roman" w:eastAsia="Times New Roman" w:hAnsi="Times New Roman"/>
                <w:b w:val="1"/>
                <w:i w:val="0"/>
                <w:smallCaps w:val="0"/>
                <w:strike w:val="0"/>
                <w:color w:val="000000"/>
                <w:sz w:val="16"/>
                <w:szCs w:val="16"/>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16"/>
                <w:szCs w:val="16"/>
                <w:u w:val="none"/>
                <w:shd w:fill="auto" w:val="clear"/>
                <w:vertAlign w:val="baseline"/>
                <w:rtl w:val="0"/>
              </w:rPr>
              <w:t xml:space="preserve">LGBTQ+</w:t>
            </w:r>
          </w:p>
        </w:tc>
        <w:tc>
          <w:tcPr>
            <w:vAlign w:val="center"/>
          </w:tcPr>
          <w:p w:rsidR="00000000" w:rsidDel="00000000" w:rsidP="00000000" w:rsidRDefault="00000000" w:rsidRPr="00000000" w14:paraId="000001E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13" w:right="113" w:firstLine="0"/>
              <w:jc w:val="center"/>
              <w:rPr>
                <w:rFonts w:ascii="Times New Roman" w:cs="Times New Roman" w:eastAsia="Times New Roman" w:hAnsi="Times New Roman"/>
                <w:b w:val="1"/>
                <w:i w:val="0"/>
                <w:smallCaps w:val="0"/>
                <w:strike w:val="0"/>
                <w:color w:val="000000"/>
                <w:sz w:val="16"/>
                <w:szCs w:val="16"/>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16"/>
                <w:szCs w:val="16"/>
                <w:u w:val="none"/>
                <w:shd w:fill="auto" w:val="clear"/>
                <w:vertAlign w:val="baseline"/>
                <w:rtl w:val="0"/>
              </w:rPr>
              <w:t xml:space="preserve">Πρόσφυγες</w:t>
            </w:r>
          </w:p>
        </w:tc>
        <w:tc>
          <w:tcPr>
            <w:vAlign w:val="center"/>
          </w:tcPr>
          <w:p w:rsidR="00000000" w:rsidDel="00000000" w:rsidP="00000000" w:rsidRDefault="00000000" w:rsidRPr="00000000" w14:paraId="000001E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13" w:right="113" w:firstLine="0"/>
              <w:jc w:val="center"/>
              <w:rPr>
                <w:rFonts w:ascii="Times New Roman" w:cs="Times New Roman" w:eastAsia="Times New Roman" w:hAnsi="Times New Roman"/>
                <w:b w:val="1"/>
                <w:i w:val="0"/>
                <w:smallCaps w:val="0"/>
                <w:strike w:val="0"/>
                <w:color w:val="000000"/>
                <w:sz w:val="16"/>
                <w:szCs w:val="16"/>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16"/>
                <w:szCs w:val="16"/>
                <w:u w:val="none"/>
                <w:shd w:fill="auto" w:val="clear"/>
                <w:vertAlign w:val="baseline"/>
                <w:rtl w:val="0"/>
              </w:rPr>
              <w:t xml:space="preserve">Μετανάστες</w:t>
            </w:r>
          </w:p>
        </w:tc>
        <w:tc>
          <w:tcPr>
            <w:vAlign w:val="center"/>
          </w:tcPr>
          <w:p w:rsidR="00000000" w:rsidDel="00000000" w:rsidP="00000000" w:rsidRDefault="00000000" w:rsidRPr="00000000" w14:paraId="000001E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13" w:right="113" w:firstLine="0"/>
              <w:jc w:val="center"/>
              <w:rPr>
                <w:rFonts w:ascii="Times New Roman" w:cs="Times New Roman" w:eastAsia="Times New Roman" w:hAnsi="Times New Roman"/>
                <w:b w:val="1"/>
                <w:i w:val="0"/>
                <w:smallCaps w:val="0"/>
                <w:strike w:val="0"/>
                <w:color w:val="000000"/>
                <w:sz w:val="16"/>
                <w:szCs w:val="16"/>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16"/>
                <w:szCs w:val="16"/>
                <w:u w:val="none"/>
                <w:shd w:fill="auto" w:val="clear"/>
                <w:vertAlign w:val="baseline"/>
                <w:rtl w:val="0"/>
              </w:rPr>
              <w:t xml:space="preserve">Άστεγοι</w:t>
            </w:r>
          </w:p>
        </w:tc>
        <w:tc>
          <w:tcPr>
            <w:vAlign w:val="center"/>
          </w:tcPr>
          <w:p w:rsidR="00000000" w:rsidDel="00000000" w:rsidP="00000000" w:rsidRDefault="00000000" w:rsidRPr="00000000" w14:paraId="000001E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13" w:right="113" w:firstLine="0"/>
              <w:jc w:val="center"/>
              <w:rPr>
                <w:rFonts w:ascii="Times New Roman" w:cs="Times New Roman" w:eastAsia="Times New Roman" w:hAnsi="Times New Roman"/>
                <w:b w:val="1"/>
                <w:i w:val="0"/>
                <w:smallCaps w:val="0"/>
                <w:strike w:val="0"/>
                <w:color w:val="000000"/>
                <w:sz w:val="16"/>
                <w:szCs w:val="16"/>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16"/>
                <w:szCs w:val="16"/>
                <w:u w:val="none"/>
                <w:shd w:fill="auto" w:val="clear"/>
                <w:vertAlign w:val="baseline"/>
                <w:rtl w:val="0"/>
              </w:rPr>
              <w:t xml:space="preserve">Φυλακισμένοι</w:t>
            </w:r>
          </w:p>
        </w:tc>
        <w:tc>
          <w:tcPr>
            <w:vAlign w:val="center"/>
          </w:tcPr>
          <w:p w:rsidR="00000000" w:rsidDel="00000000" w:rsidP="00000000" w:rsidRDefault="00000000" w:rsidRPr="00000000" w14:paraId="000001E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13" w:right="113" w:firstLine="0"/>
              <w:jc w:val="center"/>
              <w:rPr>
                <w:rFonts w:ascii="Times New Roman" w:cs="Times New Roman" w:eastAsia="Times New Roman" w:hAnsi="Times New Roman"/>
                <w:b w:val="1"/>
                <w:i w:val="0"/>
                <w:smallCaps w:val="0"/>
                <w:strike w:val="0"/>
                <w:color w:val="000000"/>
                <w:sz w:val="16"/>
                <w:szCs w:val="16"/>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16"/>
                <w:szCs w:val="16"/>
                <w:u w:val="none"/>
                <w:shd w:fill="auto" w:val="clear"/>
                <w:vertAlign w:val="baseline"/>
                <w:rtl w:val="0"/>
              </w:rPr>
              <w:t xml:space="preserve">Άνεργοι</w:t>
            </w:r>
          </w:p>
        </w:tc>
        <w:tc>
          <w:tcPr>
            <w:vAlign w:val="center"/>
          </w:tcPr>
          <w:p w:rsidR="00000000" w:rsidDel="00000000" w:rsidP="00000000" w:rsidRDefault="00000000" w:rsidRPr="00000000" w14:paraId="000001E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13" w:right="113" w:firstLine="0"/>
              <w:jc w:val="center"/>
              <w:rPr>
                <w:rFonts w:ascii="Times New Roman" w:cs="Times New Roman" w:eastAsia="Times New Roman" w:hAnsi="Times New Roman"/>
                <w:b w:val="1"/>
                <w:i w:val="0"/>
                <w:smallCaps w:val="0"/>
                <w:strike w:val="0"/>
                <w:color w:val="000000"/>
                <w:sz w:val="16"/>
                <w:szCs w:val="16"/>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16"/>
                <w:szCs w:val="16"/>
                <w:u w:val="none"/>
                <w:shd w:fill="auto" w:val="clear"/>
                <w:vertAlign w:val="baseline"/>
                <w:rtl w:val="0"/>
              </w:rPr>
              <w:t xml:space="preserve">Μονογονεϊκές οικογένειες</w:t>
            </w:r>
          </w:p>
        </w:tc>
        <w:tc>
          <w:tcPr>
            <w:vAlign w:val="center"/>
          </w:tcPr>
          <w:p w:rsidR="00000000" w:rsidDel="00000000" w:rsidP="00000000" w:rsidRDefault="00000000" w:rsidRPr="00000000" w14:paraId="000001E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13" w:right="113" w:firstLine="0"/>
              <w:jc w:val="center"/>
              <w:rPr>
                <w:rFonts w:ascii="Times New Roman" w:cs="Times New Roman" w:eastAsia="Times New Roman" w:hAnsi="Times New Roman"/>
                <w:b w:val="1"/>
                <w:i w:val="0"/>
                <w:smallCaps w:val="0"/>
                <w:strike w:val="0"/>
                <w:color w:val="000000"/>
                <w:sz w:val="16"/>
                <w:szCs w:val="16"/>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16"/>
                <w:szCs w:val="16"/>
                <w:u w:val="none"/>
                <w:shd w:fill="auto" w:val="clear"/>
                <w:vertAlign w:val="baseline"/>
                <w:rtl w:val="0"/>
              </w:rPr>
              <w:t xml:space="preserve">Νέες μητέρες</w:t>
            </w:r>
          </w:p>
        </w:tc>
        <w:tc>
          <w:tcPr>
            <w:vAlign w:val="center"/>
          </w:tcPr>
          <w:p w:rsidR="00000000" w:rsidDel="00000000" w:rsidP="00000000" w:rsidRDefault="00000000" w:rsidRPr="00000000" w14:paraId="000001E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13" w:right="113" w:firstLine="0"/>
              <w:jc w:val="center"/>
              <w:rPr>
                <w:rFonts w:ascii="Times New Roman" w:cs="Times New Roman" w:eastAsia="Times New Roman" w:hAnsi="Times New Roman"/>
                <w:b w:val="1"/>
                <w:i w:val="0"/>
                <w:smallCaps w:val="0"/>
                <w:strike w:val="0"/>
                <w:color w:val="000000"/>
                <w:sz w:val="16"/>
                <w:szCs w:val="16"/>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16"/>
                <w:szCs w:val="16"/>
                <w:u w:val="none"/>
                <w:shd w:fill="auto" w:val="clear"/>
                <w:vertAlign w:val="baseline"/>
                <w:rtl w:val="0"/>
              </w:rPr>
              <w:t xml:space="preserve">Εθνικές μειονότητες</w:t>
            </w:r>
          </w:p>
        </w:tc>
        <w:tc>
          <w:tcPr>
            <w:vAlign w:val="center"/>
          </w:tcPr>
          <w:p w:rsidR="00000000" w:rsidDel="00000000" w:rsidP="00000000" w:rsidRDefault="00000000" w:rsidRPr="00000000" w14:paraId="000001E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13" w:right="113" w:firstLine="0"/>
              <w:jc w:val="center"/>
              <w:rPr>
                <w:rFonts w:ascii="Times New Roman" w:cs="Times New Roman" w:eastAsia="Times New Roman" w:hAnsi="Times New Roman"/>
                <w:b w:val="1"/>
                <w:i w:val="0"/>
                <w:smallCaps w:val="0"/>
                <w:strike w:val="0"/>
                <w:color w:val="000000"/>
                <w:sz w:val="16"/>
                <w:szCs w:val="16"/>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16"/>
                <w:szCs w:val="16"/>
                <w:u w:val="none"/>
                <w:shd w:fill="auto" w:val="clear"/>
                <w:vertAlign w:val="baseline"/>
                <w:rtl w:val="0"/>
              </w:rPr>
              <w:t xml:space="preserve">Ενδογενείς πληθυσμοί</w:t>
            </w:r>
          </w:p>
        </w:tc>
      </w:tr>
    </w:tbl>
    <w:p w:rsidR="00000000" w:rsidDel="00000000" w:rsidP="00000000" w:rsidRDefault="00000000" w:rsidRPr="00000000" w14:paraId="000001E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Πηγή: </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OECD (2021), A New Benchmark for Mental Health Systems (ιδία επεξεργασία).</w:t>
      </w:r>
    </w:p>
    <w:p w:rsidR="00000000" w:rsidDel="00000000" w:rsidP="00000000" w:rsidRDefault="00000000" w:rsidRPr="00000000" w14:paraId="000001E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Η χώρα μας, όπως και η πλειοψηφία των χωρών έχουν υϊοθετήσει πολιτικές σχετικά με τα παιδιά και τους νέους, εξαιρώντας ωστόσο μεγάλες ομάδες πληθυσμού οι οποίοι χρήζουν υποστήριξης, όπως είναι οι γυναίκες, οι ηλικιωμένοι, οι άνεργοι και οι μειονότητες. </w:t>
      </w:r>
      <w:r w:rsidDel="00000000" w:rsidR="00000000" w:rsidRPr="00000000">
        <w:rPr>
          <w:rtl w:val="0"/>
        </w:rPr>
      </w:r>
    </w:p>
    <w:p w:rsidR="00000000" w:rsidDel="00000000" w:rsidP="00000000" w:rsidRDefault="00000000" w:rsidRPr="00000000" w14:paraId="000001E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EF">
      <w:pPr>
        <w:pStyle w:val="Heading2"/>
        <w:jc w:val="center"/>
        <w:rPr>
          <w:rFonts w:ascii="Times New Roman" w:cs="Times New Roman" w:eastAsia="Times New Roman" w:hAnsi="Times New Roman"/>
          <w:i w:val="1"/>
          <w:color w:val="000000"/>
          <w:sz w:val="24"/>
          <w:szCs w:val="24"/>
        </w:rPr>
      </w:pPr>
      <w:bookmarkStart w:colFirst="0" w:colLast="0" w:name="_heading=h.1pxezwc" w:id="28"/>
      <w:bookmarkEnd w:id="28"/>
      <w:r w:rsidDel="00000000" w:rsidR="00000000" w:rsidRPr="00000000">
        <w:rPr>
          <w:rFonts w:ascii="Times New Roman" w:cs="Times New Roman" w:eastAsia="Times New Roman" w:hAnsi="Times New Roman"/>
          <w:i w:val="1"/>
          <w:color w:val="000000"/>
          <w:sz w:val="24"/>
          <w:szCs w:val="24"/>
          <w:rtl w:val="0"/>
        </w:rPr>
        <w:t xml:space="preserve">4.1.5. Χρήση δεικτών αξιολόγησης των παρεχόμενων υπηρεσιών από τους λήπτες υπηρεσιών ψυχικής υγείας </w:t>
      </w:r>
    </w:p>
    <w:p w:rsidR="00000000" w:rsidDel="00000000" w:rsidP="00000000" w:rsidRDefault="00000000" w:rsidRPr="00000000" w14:paraId="000001F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F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Η καταγραφή της άποψης των ατόμων που έχουν βιώσει κάποια ψυχική ασθένεια, των ληπτών υπηρεσιών ψυχικής υγείας καθώς και των οικογενειών και των φροντιστών τους, αποτελεί μια βασική μέθοδος για να γίνουν τα συστήματα ψυχικής υγείας περισσότερο ανθρωποκεντρικά. Καίριας σημασίας, αποτελεί η καταγραφή της άποψης των ληπτών των υπηρεσιών, οι οποίοι μπορούν να προσφέρουν σημαντικές πληροφορίες για τις αλλαγές που πρέπει να πραγματοποιηθούν. Παρά ταύτα, η τακτική αξιολόγηση των εμπειριών και των υπηρεσιών από τους ασθενείς, παραμένει η εξαίρεση μεταξύ των χωρών του ΟΟΣΑ (OECD, 2021). </w:t>
      </w:r>
    </w:p>
    <w:p w:rsidR="00000000" w:rsidDel="00000000" w:rsidP="00000000" w:rsidRDefault="00000000" w:rsidRPr="00000000" w14:paraId="000001F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Τα δεδομένα σχετικά με την ψυχική υγεία, συνεχίζουν να εστιάζουν κατά κύριο λόγο στις εισροές και τους διαθέσιμους πόρους, όπως είναι ο αριθμός των κρεβατιών. Αν και οι πληροφορίες αυτές είναι σημαντικές, δεν παρέχουν καμία πληροφόρηση σχετικά με την ανθρωποκεντρική διάσταση της φροντίδας και το τι προσφέρει στον ασθενή. </w:t>
      </w:r>
    </w:p>
    <w:p w:rsidR="00000000" w:rsidDel="00000000" w:rsidP="00000000" w:rsidRDefault="00000000" w:rsidRPr="00000000" w14:paraId="000001F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Η αξιολόγηση από τους ασθενείς, δίνει πληροφορίες για τον τρόπο παροχής φροντίδας, με επίκεντρο τον άνθρωπο και αναδεικνύει τα υπάρχοντα «κενά». Οι δείκτες αξιολόγησης από τους ασθενείς, μπορεί να περιλαμβάνουν την κατάσταση της υγείας τους ή την εμπειρία από τη λήψη υπηρεσιών και είναι ουσιαστικοί για να διασφαλίσουν ότι οι υπηρεσίες ανταποκρίνονται στις ανάγκες και τις προτιμήσεις των ασθενών, ενώ ταυτόχρονα βελτιώνουν την ποιότητα και τα αποτελέσματα της ψυχικής υγείας ενός ατόμου. Ανάμεσα στους βασικούς δείκτες που χρησιμοποιούνται παγκοσμίως, είναι α) οι δείκτες εμπειρίας  του ασθενούς (PREM) και β) οι δείκτες αποτελεσμάτων του ασθενούς (PROMs). Ανάμεσα στις χώρες που έχουν υϊοθετήσει εκτενώς τη χρήση αυτών των δεικτών στο πλαίσιο της ανθρωποκεντρικής φροντίδας, είναι η Αυστραλία, η Ολλανδία, το Ισραήλ και το Ηνωμένο Βασίλειο (OECD, 2021). Στη χώρα μας, δε χρησιμοποιείται κανείς δείκτης ή κάποια άλλη μορφή αξιολόγησης των εμπειριών των ληπτών ή των παρεχόμενων υπηρεσιών. </w:t>
      </w:r>
    </w:p>
    <w:p w:rsidR="00000000" w:rsidDel="00000000" w:rsidP="00000000" w:rsidRDefault="00000000" w:rsidRPr="00000000" w14:paraId="000001F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F5">
      <w:pPr>
        <w:pStyle w:val="Heading1"/>
        <w:spacing w:before="0" w:lineRule="auto"/>
        <w:rPr>
          <w:rFonts w:ascii="Times New Roman" w:cs="Times New Roman" w:eastAsia="Times New Roman" w:hAnsi="Times New Roman"/>
          <w:color w:val="000000"/>
        </w:rPr>
      </w:pPr>
      <w:bookmarkStart w:colFirst="0" w:colLast="0" w:name="_heading=h.49x2ik5" w:id="29"/>
      <w:bookmarkEnd w:id="29"/>
      <w:r w:rsidDel="00000000" w:rsidR="00000000" w:rsidRPr="00000000">
        <w:rPr>
          <w:rFonts w:ascii="Times New Roman" w:cs="Times New Roman" w:eastAsia="Times New Roman" w:hAnsi="Times New Roman"/>
          <w:color w:val="000000"/>
          <w:rtl w:val="0"/>
        </w:rPr>
        <w:t xml:space="preserve">4.2. Προσβασιμότητα και ποιότητα υπηρεσιών ψυχικής υγείας</w:t>
      </w:r>
    </w:p>
    <w:p w:rsidR="00000000" w:rsidDel="00000000" w:rsidP="00000000" w:rsidRDefault="00000000" w:rsidRPr="00000000" w14:paraId="000001F6">
      <w:pPr>
        <w:pStyle w:val="Heading2"/>
        <w:jc w:val="center"/>
        <w:rPr>
          <w:rFonts w:ascii="Times New Roman" w:cs="Times New Roman" w:eastAsia="Times New Roman" w:hAnsi="Times New Roman"/>
          <w:i w:val="1"/>
          <w:color w:val="000000"/>
          <w:sz w:val="24"/>
          <w:szCs w:val="24"/>
        </w:rPr>
      </w:pPr>
      <w:bookmarkStart w:colFirst="0" w:colLast="0" w:name="_heading=h.2p2csry" w:id="30"/>
      <w:bookmarkEnd w:id="30"/>
      <w:r w:rsidDel="00000000" w:rsidR="00000000" w:rsidRPr="00000000">
        <w:rPr>
          <w:rFonts w:ascii="Times New Roman" w:cs="Times New Roman" w:eastAsia="Times New Roman" w:hAnsi="Times New Roman"/>
          <w:i w:val="1"/>
          <w:color w:val="000000"/>
          <w:sz w:val="24"/>
          <w:szCs w:val="24"/>
          <w:rtl w:val="0"/>
        </w:rPr>
        <w:t xml:space="preserve">4.2.1. Κάλυψη αναγκών για υπηρεσίες ψυχικής υγείας</w:t>
      </w:r>
    </w:p>
    <w:p w:rsidR="00000000" w:rsidDel="00000000" w:rsidP="00000000" w:rsidRDefault="00000000" w:rsidRPr="00000000" w14:paraId="000001F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Πολλές χώρες παγκοσμίως, δυσκολεύονται να καλύψουν τις ανάγκες των ατόμων που αντιμετωπίζουν ψυχικά προβλήματα υγείας. Στις χώρες του ΟΟΣΑ, τα διαθέσιμα δεδομένα δείχνουν πως υπάρχει ένα συνεχές και επίμονο χάσμα ανάμεσα στην ανάγκη για θεραπεία και την πρόσβαση στις υπηρεσίες ψυχικής υγείας (Γράφημα 4.1). Υπάρχει μια σαφής διακύμανση στην προσβασιμότητα στις υπηρεσίες ψυχικής υγείας, καθώς σε ορισμένες χώρες αναφέρονται πολύ υψηλότερα ποσοστά ανεκπλήρωτων αναγκών για υπηρεσίες ψυχικής υγείας σε σχέση με το μέσο όρο του ΟΟΣΑ. </w:t>
      </w:r>
    </w:p>
    <w:p w:rsidR="00000000" w:rsidDel="00000000" w:rsidP="00000000" w:rsidRDefault="00000000" w:rsidRPr="00000000" w14:paraId="000001F8">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Η αδυναμία πρόσβασης σε υπηρεσίες ψυχικής υγείας, οφειλόταν κατά κύριο λόγο σε οικονομικούς λόγους. Για παράδειγμα στην Ισλανδία το 8,1% των ερωτηθέντων ανέφεραν τους οικονομικούς λόγους ως εμπόδιο πρόσβασης στις ιατρικές υπηρεσίες, σε σύγκριση με το 33,1% για τις υπηρεσίες ψυχικής υγείας. Η Σλοβενία, η Ιρλανδία το Λουξεμβούργο και το Ηνωμένο Βασίλειο, εμφανίζουν ποσοστά ανεκπλήρωτων αναγκών για υπηρεσίες ψυχικής υγείας, που ανέρχονται άνω του 80%. Η χώρα μας, βρίσκεται λίγο πιο πάνω από το μέσο όρο των χωρών του ΟΟΣΑ, με ποσοστό 70%. Μόλις τρεις χώρες, η Νορβηγία, η Λιθουανία και η Σλοβακία, παρουσιάζουν ποσοστά ανεκπλήρωτων αναγκών για υπηρεσίες ψυχικής υγείας κάτω από 30%. </w:t>
      </w:r>
    </w:p>
    <w:p w:rsidR="00000000" w:rsidDel="00000000" w:rsidP="00000000" w:rsidRDefault="00000000" w:rsidRPr="00000000" w14:paraId="000001F9">
      <w:pPr>
        <w:spacing w:line="276"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Γράφημα 4.1. </w:t>
      </w:r>
      <w:r w:rsidDel="00000000" w:rsidR="00000000" w:rsidRPr="00000000">
        <w:rPr>
          <w:rFonts w:ascii="Times New Roman" w:cs="Times New Roman" w:eastAsia="Times New Roman" w:hAnsi="Times New Roman"/>
          <w:sz w:val="24"/>
          <w:szCs w:val="24"/>
          <w:rtl w:val="0"/>
        </w:rPr>
        <w:t xml:space="preserve">Ποσοστό ατόμων με ανεκπλήρωτες ανάγκες ψυχικής υγείας εξαιτίας οικονομικών λόγων, αναμονής ή αδυναμίας μεταφοράς (για το έτος 2016 ή πιο πρόσφατα)</w:t>
      </w:r>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1FA">
      <w:pPr>
        <w:rPr>
          <w:b w:val="1"/>
        </w:rPr>
      </w:pPr>
      <w:r w:rsidDel="00000000" w:rsidR="00000000" w:rsidRPr="00000000">
        <w:rPr>
          <w:b w:val="1"/>
        </w:rPr>
        <w:drawing>
          <wp:inline distB="0" distT="0" distL="0" distR="0">
            <wp:extent cx="4679950" cy="5934075"/>
            <wp:docPr id="38" name=""/>
            <a:graphic>
              <a:graphicData uri="http://schemas.openxmlformats.org/drawingml/2006/chart">
                <c:chart r:id="rId13"/>
              </a:graphicData>
            </a:graphic>
          </wp:inline>
        </w:drawing>
      </w:r>
      <w:r w:rsidDel="00000000" w:rsidR="00000000" w:rsidRPr="00000000">
        <w:rPr>
          <w:rtl w:val="0"/>
        </w:rPr>
      </w:r>
    </w:p>
    <w:p w:rsidR="00000000" w:rsidDel="00000000" w:rsidP="00000000" w:rsidRDefault="00000000" w:rsidRPr="00000000" w14:paraId="000001FB">
      <w:pP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Πηγή: </w:t>
      </w:r>
      <w:r w:rsidDel="00000000" w:rsidR="00000000" w:rsidRPr="00000000">
        <w:rPr>
          <w:rFonts w:ascii="Times New Roman" w:cs="Times New Roman" w:eastAsia="Times New Roman" w:hAnsi="Times New Roman"/>
          <w:sz w:val="20"/>
          <w:szCs w:val="20"/>
          <w:rtl w:val="0"/>
        </w:rPr>
        <w:t xml:space="preserve">EHIS-2, OECD (2021), A New Benchmark for Mental Health Systems (ιδία επεξεργασία)</w:t>
      </w:r>
      <w:r w:rsidDel="00000000" w:rsidR="00000000" w:rsidRPr="00000000">
        <w:rPr>
          <w:rFonts w:ascii="Times New Roman" w:cs="Times New Roman" w:eastAsia="Times New Roman" w:hAnsi="Times New Roman"/>
          <w:b w:val="1"/>
          <w:sz w:val="20"/>
          <w:szCs w:val="20"/>
          <w:rtl w:val="0"/>
        </w:rPr>
        <w:t xml:space="preserve">.</w:t>
      </w:r>
    </w:p>
    <w:p w:rsidR="00000000" w:rsidDel="00000000" w:rsidP="00000000" w:rsidRDefault="00000000" w:rsidRPr="00000000" w14:paraId="000001FC">
      <w:pPr>
        <w:pStyle w:val="Heading2"/>
        <w:jc w:val="center"/>
        <w:rPr>
          <w:rFonts w:ascii="Times New Roman" w:cs="Times New Roman" w:eastAsia="Times New Roman" w:hAnsi="Times New Roman"/>
          <w:i w:val="1"/>
          <w:color w:val="000000"/>
          <w:sz w:val="24"/>
          <w:szCs w:val="24"/>
        </w:rPr>
      </w:pPr>
      <w:bookmarkStart w:colFirst="0" w:colLast="0" w:name="_heading=h.147n2zr" w:id="31"/>
      <w:bookmarkEnd w:id="31"/>
      <w:r w:rsidDel="00000000" w:rsidR="00000000" w:rsidRPr="00000000">
        <w:rPr>
          <w:rFonts w:ascii="Times New Roman" w:cs="Times New Roman" w:eastAsia="Times New Roman" w:hAnsi="Times New Roman"/>
          <w:i w:val="1"/>
          <w:color w:val="000000"/>
          <w:sz w:val="24"/>
          <w:szCs w:val="24"/>
          <w:rtl w:val="0"/>
        </w:rPr>
        <w:t xml:space="preserve">4.2.2. Οικονομική κάλυψη των υπηρεσιών ψυχικής υγείας </w:t>
      </w:r>
    </w:p>
    <w:p w:rsidR="00000000" w:rsidDel="00000000" w:rsidP="00000000" w:rsidRDefault="00000000" w:rsidRPr="00000000" w14:paraId="000001FD">
      <w:pPr>
        <w:spacing w:after="12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Η προσβασιμότητα στις υπηρεσίες ψυχικής υγείας, εξαρτάται σε μεγάλο βαθμό από το εάν και σε ποιο βαθμό καλύπτονται από τη βασική υγειονομική ή ασφαλιστική κάλυψη, ή εάν το κόστος καλύπτεται πλήρως ή μερικώς από τους λήπτες των υπηρεσιών. Τα διαθέσιμα δεδομένα για τις χώρες του ΟΟΣΑ, δείχνουν πως υπάρχει διαφοροποίηση ως προς τον βαθμό κάλυψης του κόστους των υπηρεσιών ψυχικής υγείας από τη βασική υγειονομική κάλυψη (Εικόνα 4.4). </w:t>
      </w:r>
    </w:p>
    <w:p w:rsidR="00000000" w:rsidDel="00000000" w:rsidP="00000000" w:rsidRDefault="00000000" w:rsidRPr="00000000" w14:paraId="000001FE">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Εικόνα 4.4. </w:t>
      </w:r>
      <w:r w:rsidDel="00000000" w:rsidR="00000000" w:rsidRPr="00000000">
        <w:rPr>
          <w:rFonts w:ascii="Times New Roman" w:cs="Times New Roman" w:eastAsia="Times New Roman" w:hAnsi="Times New Roman"/>
          <w:sz w:val="24"/>
          <w:szCs w:val="24"/>
          <w:rtl w:val="0"/>
        </w:rPr>
        <w:t xml:space="preserve">Υπηρεσίες ψυχικής υγείας που καλύπτονται πλήρως ή εν μέρει από βασική υγειονομική κάλυψη</w:t>
      </w:r>
    </w:p>
    <w:p w:rsidR="00000000" w:rsidDel="00000000" w:rsidP="00000000" w:rsidRDefault="00000000" w:rsidRPr="00000000" w14:paraId="000001FF">
      <w:pPr>
        <w:rPr>
          <w:b w:val="1"/>
        </w:rPr>
      </w:pPr>
      <w:r w:rsidDel="00000000" w:rsidR="00000000" w:rsidRPr="00000000">
        <w:rPr/>
        <w:drawing>
          <wp:inline distB="0" distT="0" distL="0" distR="0">
            <wp:extent cx="4670425" cy="3676650"/>
            <wp:docPr id="41" name=""/>
            <a:graphic>
              <a:graphicData uri="http://schemas.openxmlformats.org/drawingml/2006/chart">
                <c:chart r:id="rId14"/>
              </a:graphicData>
            </a:graphic>
          </wp:inline>
        </w:drawing>
      </w:r>
      <w:r w:rsidDel="00000000" w:rsidR="00000000" w:rsidRPr="00000000">
        <w:rPr>
          <w:rtl w:val="0"/>
        </w:rPr>
      </w:r>
    </w:p>
    <w:tbl>
      <w:tblPr>
        <w:tblStyle w:val="Table8"/>
        <w:tblW w:w="7052.0" w:type="dxa"/>
        <w:jc w:val="left"/>
        <w:tblInd w:w="534.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850"/>
        <w:gridCol w:w="1276"/>
        <w:gridCol w:w="1132"/>
        <w:gridCol w:w="1264"/>
        <w:gridCol w:w="1148"/>
        <w:gridCol w:w="1382"/>
        <w:tblGridChange w:id="0">
          <w:tblGrid>
            <w:gridCol w:w="850"/>
            <w:gridCol w:w="1276"/>
            <w:gridCol w:w="1132"/>
            <w:gridCol w:w="1264"/>
            <w:gridCol w:w="1148"/>
            <w:gridCol w:w="1382"/>
          </w:tblGrid>
        </w:tblGridChange>
      </w:tblGrid>
      <w:tr>
        <w:trPr>
          <w:cantSplit w:val="1"/>
          <w:trHeight w:val="1424" w:hRule="atLeast"/>
          <w:tblHeader w:val="0"/>
        </w:trPr>
        <w:tc>
          <w:tcPr>
            <w:vAlign w:val="center"/>
          </w:tcPr>
          <w:p w:rsidR="00000000" w:rsidDel="00000000" w:rsidP="00000000" w:rsidRDefault="00000000" w:rsidRPr="00000000" w14:paraId="00000200">
            <w:pPr>
              <w:ind w:left="113" w:right="113" w:firstLine="0"/>
              <w:jc w:val="right"/>
              <w:rPr>
                <w:rFonts w:ascii="Times New Roman" w:cs="Times New Roman" w:eastAsia="Times New Roman" w:hAnsi="Times New Roman"/>
                <w:b w:val="1"/>
                <w:sz w:val="14"/>
                <w:szCs w:val="14"/>
              </w:rPr>
            </w:pPr>
            <w:r w:rsidDel="00000000" w:rsidR="00000000" w:rsidRPr="00000000">
              <w:rPr>
                <w:rFonts w:ascii="Times New Roman" w:cs="Times New Roman" w:eastAsia="Times New Roman" w:hAnsi="Times New Roman"/>
                <w:b w:val="1"/>
                <w:sz w:val="14"/>
                <w:szCs w:val="14"/>
                <w:rtl w:val="0"/>
              </w:rPr>
              <w:t xml:space="preserve">Ψυχολογικές θεραπείες που παρέχονται από ψυχολόγο</w:t>
            </w:r>
          </w:p>
        </w:tc>
        <w:tc>
          <w:tcPr>
            <w:vAlign w:val="center"/>
          </w:tcPr>
          <w:p w:rsidR="00000000" w:rsidDel="00000000" w:rsidP="00000000" w:rsidRDefault="00000000" w:rsidRPr="00000000" w14:paraId="00000201">
            <w:pPr>
              <w:ind w:left="113" w:right="113" w:firstLine="0"/>
              <w:jc w:val="right"/>
              <w:rPr>
                <w:rFonts w:ascii="Times New Roman" w:cs="Times New Roman" w:eastAsia="Times New Roman" w:hAnsi="Times New Roman"/>
                <w:b w:val="1"/>
                <w:sz w:val="14"/>
                <w:szCs w:val="14"/>
              </w:rPr>
            </w:pPr>
            <w:r w:rsidDel="00000000" w:rsidR="00000000" w:rsidRPr="00000000">
              <w:rPr>
                <w:rFonts w:ascii="Times New Roman" w:cs="Times New Roman" w:eastAsia="Times New Roman" w:hAnsi="Times New Roman"/>
                <w:b w:val="1"/>
                <w:sz w:val="14"/>
                <w:szCs w:val="14"/>
                <w:rtl w:val="0"/>
              </w:rPr>
              <w:t xml:space="preserve">Ψυχολογικές θεραπείες που παρέχονται από άλλους ειδικούς ψυχικής υγείας</w:t>
            </w:r>
          </w:p>
        </w:tc>
        <w:tc>
          <w:tcPr>
            <w:vAlign w:val="center"/>
          </w:tcPr>
          <w:p w:rsidR="00000000" w:rsidDel="00000000" w:rsidP="00000000" w:rsidRDefault="00000000" w:rsidRPr="00000000" w14:paraId="00000202">
            <w:pPr>
              <w:ind w:left="113" w:right="113" w:firstLine="0"/>
              <w:jc w:val="right"/>
              <w:rPr>
                <w:rFonts w:ascii="Times New Roman" w:cs="Times New Roman" w:eastAsia="Times New Roman" w:hAnsi="Times New Roman"/>
                <w:b w:val="1"/>
                <w:sz w:val="14"/>
                <w:szCs w:val="14"/>
              </w:rPr>
            </w:pPr>
            <w:r w:rsidDel="00000000" w:rsidR="00000000" w:rsidRPr="00000000">
              <w:rPr>
                <w:rFonts w:ascii="Times New Roman" w:cs="Times New Roman" w:eastAsia="Times New Roman" w:hAnsi="Times New Roman"/>
                <w:b w:val="1"/>
                <w:sz w:val="14"/>
                <w:szCs w:val="14"/>
                <w:rtl w:val="0"/>
              </w:rPr>
              <w:t xml:space="preserve">Συμβουλευτική</w:t>
            </w:r>
          </w:p>
        </w:tc>
        <w:tc>
          <w:tcPr>
            <w:vAlign w:val="center"/>
          </w:tcPr>
          <w:p w:rsidR="00000000" w:rsidDel="00000000" w:rsidP="00000000" w:rsidRDefault="00000000" w:rsidRPr="00000000" w14:paraId="00000203">
            <w:pPr>
              <w:ind w:left="113" w:right="113" w:firstLine="0"/>
              <w:jc w:val="right"/>
              <w:rPr>
                <w:rFonts w:ascii="Times New Roman" w:cs="Times New Roman" w:eastAsia="Times New Roman" w:hAnsi="Times New Roman"/>
                <w:b w:val="1"/>
                <w:sz w:val="14"/>
                <w:szCs w:val="14"/>
              </w:rPr>
            </w:pPr>
            <w:r w:rsidDel="00000000" w:rsidR="00000000" w:rsidRPr="00000000">
              <w:rPr>
                <w:rFonts w:ascii="Times New Roman" w:cs="Times New Roman" w:eastAsia="Times New Roman" w:hAnsi="Times New Roman"/>
                <w:b w:val="1"/>
                <w:sz w:val="14"/>
                <w:szCs w:val="14"/>
                <w:rtl w:val="0"/>
              </w:rPr>
              <w:t xml:space="preserve">Συμβουλευτική για αλκοολισμό</w:t>
            </w:r>
          </w:p>
        </w:tc>
        <w:tc>
          <w:tcPr>
            <w:vAlign w:val="center"/>
          </w:tcPr>
          <w:p w:rsidR="00000000" w:rsidDel="00000000" w:rsidP="00000000" w:rsidRDefault="00000000" w:rsidRPr="00000000" w14:paraId="00000204">
            <w:pPr>
              <w:ind w:left="113" w:right="113" w:firstLine="0"/>
              <w:jc w:val="right"/>
              <w:rPr>
                <w:rFonts w:ascii="Times New Roman" w:cs="Times New Roman" w:eastAsia="Times New Roman" w:hAnsi="Times New Roman"/>
                <w:b w:val="1"/>
                <w:sz w:val="14"/>
                <w:szCs w:val="14"/>
              </w:rPr>
            </w:pPr>
            <w:r w:rsidDel="00000000" w:rsidR="00000000" w:rsidRPr="00000000">
              <w:rPr>
                <w:rFonts w:ascii="Times New Roman" w:cs="Times New Roman" w:eastAsia="Times New Roman" w:hAnsi="Times New Roman"/>
                <w:b w:val="1"/>
                <w:sz w:val="14"/>
                <w:szCs w:val="14"/>
                <w:rtl w:val="0"/>
              </w:rPr>
              <w:t xml:space="preserve">Συμβουλευτική για χρήση ουσιών</w:t>
            </w:r>
          </w:p>
        </w:tc>
        <w:tc>
          <w:tcPr>
            <w:vAlign w:val="center"/>
          </w:tcPr>
          <w:p w:rsidR="00000000" w:rsidDel="00000000" w:rsidP="00000000" w:rsidRDefault="00000000" w:rsidRPr="00000000" w14:paraId="00000205">
            <w:pPr>
              <w:ind w:left="113" w:right="113" w:firstLine="0"/>
              <w:jc w:val="right"/>
              <w:rPr>
                <w:rFonts w:ascii="Times New Roman" w:cs="Times New Roman" w:eastAsia="Times New Roman" w:hAnsi="Times New Roman"/>
                <w:b w:val="1"/>
                <w:sz w:val="14"/>
                <w:szCs w:val="14"/>
              </w:rPr>
            </w:pPr>
            <w:r w:rsidDel="00000000" w:rsidR="00000000" w:rsidRPr="00000000">
              <w:rPr>
                <w:rFonts w:ascii="Times New Roman" w:cs="Times New Roman" w:eastAsia="Times New Roman" w:hAnsi="Times New Roman"/>
                <w:b w:val="1"/>
                <w:sz w:val="14"/>
                <w:szCs w:val="14"/>
                <w:rtl w:val="0"/>
              </w:rPr>
              <w:t xml:space="preserve">Εξωνοσοκομειακές υπηρεσίες</w:t>
            </w:r>
          </w:p>
        </w:tc>
      </w:tr>
    </w:tbl>
    <w:p w:rsidR="00000000" w:rsidDel="00000000" w:rsidP="00000000" w:rsidRDefault="00000000" w:rsidRPr="00000000" w14:paraId="00000206">
      <w:pPr>
        <w:spacing w:line="276"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Πηγή:</w:t>
      </w:r>
      <w:r w:rsidDel="00000000" w:rsidR="00000000" w:rsidRPr="00000000">
        <w:rPr>
          <w:rFonts w:ascii="Times New Roman" w:cs="Times New Roman" w:eastAsia="Times New Roman" w:hAnsi="Times New Roman"/>
          <w:sz w:val="20"/>
          <w:szCs w:val="20"/>
          <w:rtl w:val="0"/>
        </w:rPr>
        <w:t xml:space="preserve"> OECD (2021), A New Benchmark for Mental Health Systems (ιδία επεξεργασία)</w:t>
      </w:r>
    </w:p>
    <w:p w:rsidR="00000000" w:rsidDel="00000000" w:rsidP="00000000" w:rsidRDefault="00000000" w:rsidRPr="00000000" w14:paraId="00000207">
      <w:pPr>
        <w:spacing w:after="12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Η συμβουλευτική για το αλκοόλ, τα ναρκωτικά ή οι εξωνοσοκομειακές υπηρεσίες ψυχικής υγείας, καλύπτονται στις περισσότερες χώρες του ΟΟΣΑ, ενώ οι ψυχολογικές θεραπείες που παρέχονται από ψυχολόγο, καλύπτονται επίσης πλήρως ή εν μέρει στις περισσότερες χώρες. Οι υπηρεσίες συμβουλευτικής ή ψυχολογικής θεραπείας που παρέχονται από επαγγελματίες πέρα των ψυχολόγων,  καλύπτονται σε λιγότερες χώρες και είναι πιο πιθανό να καλύπτονται μόνο εν μέρει. Στη χώρα μας, δεν υπάρχει κάλυψη των ψυχολογικών θεραπειών, ενώ υπάρχει πλήρης κάλυψη της συμβουλευτικής για τον αλκοολισμό ή τη χρήση ουσιών, η οποία πραγματοποιείται από εξειδικευμένα κέντρα, όπως είναι ο ΟΚΑΝΑ ή το ΚΕΘΕΑ. Οι εξωνοσοκομειακές υπηρεσίες είναι επίσης δωρεάν, στο πλαίσιο της λειτουργίας των δημόσιων φορέων αλλά και των ΝΠΙΔ, που χρηματοδοτούνται από τον κρατικό προϋπολογισμό. </w:t>
      </w:r>
    </w:p>
    <w:p w:rsidR="00000000" w:rsidDel="00000000" w:rsidP="00000000" w:rsidRDefault="00000000" w:rsidRPr="00000000" w14:paraId="00000208">
      <w:pPr>
        <w:pStyle w:val="Heading2"/>
        <w:jc w:val="center"/>
        <w:rPr>
          <w:rFonts w:ascii="Times New Roman" w:cs="Times New Roman" w:eastAsia="Times New Roman" w:hAnsi="Times New Roman"/>
          <w:i w:val="1"/>
          <w:color w:val="000000"/>
          <w:sz w:val="24"/>
          <w:szCs w:val="24"/>
        </w:rPr>
      </w:pPr>
      <w:bookmarkStart w:colFirst="0" w:colLast="0" w:name="_heading=h.3o7alnk" w:id="32"/>
      <w:bookmarkEnd w:id="32"/>
      <w:r w:rsidDel="00000000" w:rsidR="00000000" w:rsidRPr="00000000">
        <w:rPr>
          <w:rFonts w:ascii="Times New Roman" w:cs="Times New Roman" w:eastAsia="Times New Roman" w:hAnsi="Times New Roman"/>
          <w:i w:val="1"/>
          <w:color w:val="000000"/>
          <w:sz w:val="24"/>
          <w:szCs w:val="24"/>
          <w:rtl w:val="0"/>
        </w:rPr>
        <w:t xml:space="preserve">4.2.3. Μέσος χρόνος αναμονής για πρόσβαση στις υπηρεσίες ψυχικής υγείας </w:t>
      </w:r>
    </w:p>
    <w:p w:rsidR="00000000" w:rsidDel="00000000" w:rsidP="00000000" w:rsidRDefault="00000000" w:rsidRPr="00000000" w14:paraId="00000209">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Η καθυστερημένη φροντίδα των προβλημάτων ψυχικής υγείας εξαιτίας του χρόνου αναμονής για να αποκτήσει κάποιος πρόσβαση στις διαθέσιμες υπηρεσίες, σχετίζεται με σημαντική επιδείνωση της υγείας του ατόμου. Ο χρόνος αναμονής, αποτελεί επίσης ένα δείκτη παρακολούθησης και αξιολόγησης της συνέπειας της πρόσβασης σε υπηρεσίες ψυχικής υγείας σε διάφορες γεωγραφικές περιοχές ή τύπους υπηρεσιών (OECD,  2020b). Η Δανία, η Φινλανδία, η Ιρλανδία, η Λιθουανία, η Ολλανδία, η Νέα Ζηλανδία, η Νορβηγία και ορισμένες περιοχές της Ισπανίας, της Σουηδίας και του Ηνωμένου Βασιλείου (Αγγλία, Ουαλία, Σκωτία), έχουν θέσει συγκεκριμένους στόχους αναμονής για την παροχή θεραπείας μετά την πρώτη επαφή ενός ασθενούς με έναν πάροχο υπηρεσιών ψυχικής υγείας, εντός ενός έως τριών μηνών (OECD, 2020b;  OECD, 2021). Για τα παιδιά και τους εφήβους, η Φινλανδία, η Ιρλανδία, η Νέα Ζηλανδία, η Νορβηγία, η Σουηδία, η Σκωτία και η Ουαλία, έχουν θέσει διαφορετικούς χρόνους αναμονής  σε σύγκριση με τους ενηλίκους. Στη Νορβηγία ο χρόνος αναμονής για τα παιδιά είναι 40 ημέρες, ελαφρώς μικρότερος από ό,τι για τους ενήλικες (45 ημέρες), ενώ στη Σουηδία ο χρόνος αναμονής είναι πολύ μικρότερος για τα παιδιά και τους νέους (30 ημέρες) σε σύγκριση με τους ενηλίκους (90 ημέρες).</w:t>
      </w:r>
    </w:p>
    <w:p w:rsidR="00000000" w:rsidDel="00000000" w:rsidP="00000000" w:rsidRDefault="00000000" w:rsidRPr="00000000" w14:paraId="0000020A">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Για την Ελλάδα, δεν υπάρχουν επίσημα στατιστικά δεδομένα για το μέσο χρόνο αναμονής για την πρόσβαση σε υπηρεσίες ψυχικής υγείας. Σε μια πρόσφατη έρευνα των Mpourazana και συνεργατών (2021), σχετικά με τα αιτήματα για πρώτη ψυχιατρική αξιολόγηση στα εξωτερικά ιατρεία του Αιγινήτειου Πανεπιστημιακού Νοσοκομείου το 2019, έγινε άμεση ανακατεύθυνση των 57,5% των αιτημάτων στις κατά τόπους ψυχιατρικές υπηρεσίες. Τα υπόλοιπα αιτήματα, μετά την ταξινόμηση τους σε τρεις κατηγορίες διαβαθμισμένης προτεραιότητας, τοποθετήθηκαν σε εξωτερικά ιατρεία ψυχιατρικών κλινικών μετά από χρόνο αναμονής 25, 50 και 76 ημερών, αντίστοιχα. Στις περισσότερες δημόσιες υπηρεσίες ψυχικής υγείας παιδιών και εφήβων ο χρόνος αναμονής για τα συνηθισμένα περιστατικά είναι μεγαλύτερος από ένα μήνα, ενώ σε ειδικές περιπτώσεις μπορεί να φτάσει και τους 12 μήνες (Chondros, Stylianidis &amp; Lambaki, 2010; Giannakopoulos &amp; Anagnostopoulos, 2016; Stylianidis Peppou, Drakonakis et al., 2017)</w:t>
      </w:r>
    </w:p>
    <w:p w:rsidR="00000000" w:rsidDel="00000000" w:rsidP="00000000" w:rsidRDefault="00000000" w:rsidRPr="00000000" w14:paraId="0000020B">
      <w:pPr>
        <w:pStyle w:val="Heading2"/>
        <w:spacing w:after="120" w:lineRule="auto"/>
        <w:jc w:val="center"/>
        <w:rPr>
          <w:rFonts w:ascii="Times New Roman" w:cs="Times New Roman" w:eastAsia="Times New Roman" w:hAnsi="Times New Roman"/>
          <w:i w:val="1"/>
          <w:color w:val="000000"/>
          <w:sz w:val="24"/>
          <w:szCs w:val="24"/>
        </w:rPr>
      </w:pPr>
      <w:bookmarkStart w:colFirst="0" w:colLast="0" w:name="_heading=h.23ckvvd" w:id="33"/>
      <w:bookmarkEnd w:id="33"/>
      <w:r w:rsidDel="00000000" w:rsidR="00000000" w:rsidRPr="00000000">
        <w:rPr>
          <w:rFonts w:ascii="Times New Roman" w:cs="Times New Roman" w:eastAsia="Times New Roman" w:hAnsi="Times New Roman"/>
          <w:i w:val="1"/>
          <w:color w:val="000000"/>
          <w:sz w:val="24"/>
          <w:szCs w:val="24"/>
          <w:rtl w:val="0"/>
        </w:rPr>
        <w:t xml:space="preserve">4.2.4. Πρόσβαση στις υπηρεσίες </w:t>
      </w:r>
    </w:p>
    <w:p w:rsidR="00000000" w:rsidDel="00000000" w:rsidP="00000000" w:rsidRDefault="00000000" w:rsidRPr="00000000" w14:paraId="0000020C">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Η εύκολη και άμεση πρόσβαση στις υπηρεσίες, είναι μια βασική προϋπόθεση για να ενθαρρυνθούν οι πολίτες να αναζητήσουν βοήθεια για προβλήματα ψυχικής υγείας.  Στο σύνολο σχεδόν των χωρών του ΟΟΣΑ, υπάρχει η δυνατότητα αυτοπαραπομπής σε όλες ή σε μερικές υπηρεσίες ψυχικής υγείας, χωρίς προηγούμενη παραπομπή από κάποιον ειδικό (Γράφημα 4.2).</w:t>
      </w:r>
    </w:p>
    <w:p w:rsidR="00000000" w:rsidDel="00000000" w:rsidP="00000000" w:rsidRDefault="00000000" w:rsidRPr="00000000" w14:paraId="0000020D">
      <w:pPr>
        <w:spacing w:line="276" w:lineRule="auto"/>
        <w:rPr/>
      </w:pPr>
      <w:r w:rsidDel="00000000" w:rsidR="00000000" w:rsidRPr="00000000">
        <w:rPr>
          <w:rFonts w:ascii="Times New Roman" w:cs="Times New Roman" w:eastAsia="Times New Roman" w:hAnsi="Times New Roman"/>
          <w:b w:val="1"/>
          <w:sz w:val="24"/>
          <w:szCs w:val="24"/>
          <w:rtl w:val="0"/>
        </w:rPr>
        <w:t xml:space="preserve">Γράφημα 4.2. </w:t>
      </w:r>
      <w:r w:rsidDel="00000000" w:rsidR="00000000" w:rsidRPr="00000000">
        <w:rPr>
          <w:rFonts w:ascii="Times New Roman" w:cs="Times New Roman" w:eastAsia="Times New Roman" w:hAnsi="Times New Roman"/>
          <w:sz w:val="24"/>
          <w:szCs w:val="24"/>
          <w:rtl w:val="0"/>
        </w:rPr>
        <w:t xml:space="preserve">Άμεση πρόσβαση σε υπηρεσίες ψυχικής υγείας, χωρίς παραπομπή</w:t>
      </w:r>
      <w:r w:rsidDel="00000000" w:rsidR="00000000" w:rsidRPr="00000000">
        <w:rPr>
          <w:b w:val="1"/>
          <w:rtl w:val="0"/>
        </w:rPr>
        <w:t xml:space="preserve"> </w:t>
      </w:r>
      <w:r w:rsidDel="00000000" w:rsidR="00000000" w:rsidRPr="00000000">
        <w:rPr/>
        <w:drawing>
          <wp:inline distB="0" distT="0" distL="0" distR="0">
            <wp:extent cx="4679950" cy="6238875"/>
            <wp:docPr id="40" name=""/>
            <a:graphic>
              <a:graphicData uri="http://schemas.openxmlformats.org/drawingml/2006/chart">
                <c:chart r:id="rId15"/>
              </a:graphicData>
            </a:graphic>
          </wp:inline>
        </w:drawing>
      </w:r>
      <w:r w:rsidDel="00000000" w:rsidR="00000000" w:rsidRPr="00000000">
        <w:rPr>
          <w:rtl w:val="0"/>
        </w:rPr>
      </w:r>
    </w:p>
    <w:p w:rsidR="00000000" w:rsidDel="00000000" w:rsidP="00000000" w:rsidRDefault="00000000" w:rsidRPr="00000000" w14:paraId="0000020E">
      <w:pPr>
        <w:spacing w:after="12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Πηγή:</w:t>
      </w:r>
      <w:r w:rsidDel="00000000" w:rsidR="00000000" w:rsidRPr="00000000">
        <w:rPr>
          <w:rFonts w:ascii="Times New Roman" w:cs="Times New Roman" w:eastAsia="Times New Roman" w:hAnsi="Times New Roman"/>
          <w:sz w:val="20"/>
          <w:szCs w:val="20"/>
          <w:rtl w:val="0"/>
        </w:rPr>
        <w:t xml:space="preserve"> OECD (2021), A New Benchmark for Mental Health Systems (ιδία επεξεργασία).</w:t>
      </w:r>
    </w:p>
    <w:p w:rsidR="00000000" w:rsidDel="00000000" w:rsidP="00000000" w:rsidRDefault="00000000" w:rsidRPr="00000000" w14:paraId="0000020F">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Πολλές χώρες διαθέτουν διαδικτυακές πληροφορίες ή τηλεφωνικές γραμμές, στις οποίες είναι δυνατή η άμεση πρόσβαση χωρίς παραπομπή, όπως είναι η Ιρλανδία, η Λιθουανία, η Σλοβενία, η Πορτογαλία, η Νορβηγία, ο Καναδάς και η Νέα Ζηλανδία. Στην Ιρλανδία, υπάρχει ένας διαδικτυακός ιστότοπος καθώς και ένας εθνικός αριθμός για την ψυχικής υγεία. Η Λιθουανία έχει μια «γραμμή ελπίδας», μια γραμμή υποστήριξης γυναικών και διάφορες άλλες γραμμές τηλεφωνικής υποστήριξης, και η Νέα Ζηλανδία διαθέτει μια σειρά από διαδικτυακές πληροφορίες και πόρους που μπορούν να προσπελαστούν απευθείας. Στην Αγγλία, μια σειρά από συμβουλές και πληροφορίες για την ψυχική υγεία είναι διαθέσιμες στο διαδίκτυο, συμπεριλαμβανομένης της βιβλιοθήκης των εφαρμογών του Εθνικού Συστήματος Υγείας, η οποία περιλαμβάνει εφαρμογές για την ψυχική υγεία και παρέχει καθοδήγηση σχετικά με την υποστήριξη της ψυχικής υγείας. Στον Καναδά, υπάρχει η διαδικτυακή πύλη Wellness Together Canada, που παρέχει βραχυπρόθεσμη υποστήριξη και υπηρεσίες ψυχικής υγείας για τους Καναδούς χρήστες ουσιών, συμπεριλαμβανομένης της πρόσβασης σε άμεση τηλεφωνική υποστήριξη σε περιπτώσεις κρίσεων. Στη Νορβηγία, πολλοί δήμοι προσφέρουν επίσης ψηφιακά μαθήματα και προγράμματα αυτοβοήθειας. Η κυβέρνηση έχει ξεκινήσει την ανάπτυξη ενός ψηφιακού εργαλείου που αντιμετωπίζει ηπιότερες μορφές άγχους, κατάθλιψης και ζητημάτων ύπνου, όπου όλοι οι δήμοι θα πρέπει να μπορούν να χρησιμοποιούν αυτό το εργαλείο μετά την ολοκλήρωση του έργου.</w:t>
      </w:r>
    </w:p>
    <w:p w:rsidR="00000000" w:rsidDel="00000000" w:rsidP="00000000" w:rsidRDefault="00000000" w:rsidRPr="00000000" w14:paraId="00000210">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Όσον αφορά την πρόσβαση σε εξειδικευμένη περίθαλψη ψυχικής υγείας, οι οδοί πρόσβασης και παραπομπής διαφέρουν μεταξύ των χωρών, όπως αναφέρθηκε και στην πρώτη ενότητα των αποτελεσμάτων. Στη Λιθουανία και στην Τουρκία, ορισμένες εξειδικευμένες υπηρεσίες ψυχικής υγείας είναι προσβάσιμες χωρίς παραπομπή, συμπεριλαμβανομένων των κέντρων ψυχικής υγείας πρωτοβάθμιου επιπέδου. Επιπλέον, στις περισσότερες χώρες, ορισμένες υπηρεσίες ψυχικής υγείας όπως είναι η ψυχοθεραπεία που παρέχεται από ψυχολόγους, ψυχιάτρους ή άλλους ειδικούς, μπορούν να προσπελαστούν απευθείας από τους ασθενείς με πληρωμή από την τσέπη τους.</w:t>
      </w:r>
    </w:p>
    <w:p w:rsidR="00000000" w:rsidDel="00000000" w:rsidP="00000000" w:rsidRDefault="00000000" w:rsidRPr="00000000" w14:paraId="00000211">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Στην Ελλάδα, υπάρχει δυνατότητα άμεσης πρόσβασης στους περισσότερους δημόσιους παρόχους υπηρεσιών ψυχικής υγείας χωρίς παραπομπή καθώς και στα τμήματα επειγόντων. Δεν υπάρχει μια εθνική γραμμή ψυχολογικής βοήθειας, παρά μόνο κάποιες γραμμές τηλεφωνικής υποστήριξης που λειτουργούν από ΝΠΙΔ. Οι υπηρεσίες που παρέχονται από τους διάφορους φορείς, παρουσιάζονται στις ιστοσελίδες τους, ενώ η διαδικτυακή υποστήριξη πραγματοποιείται σε πλαίσιο φορέων και όχι σε εθνικό επίπεδο. </w:t>
      </w:r>
    </w:p>
    <w:p w:rsidR="00000000" w:rsidDel="00000000" w:rsidP="00000000" w:rsidRDefault="00000000" w:rsidRPr="00000000" w14:paraId="00000212">
      <w:pPr>
        <w:pStyle w:val="Heading2"/>
        <w:spacing w:after="120" w:lineRule="auto"/>
        <w:jc w:val="center"/>
        <w:rPr>
          <w:rFonts w:ascii="Times New Roman" w:cs="Times New Roman" w:eastAsia="Times New Roman" w:hAnsi="Times New Roman"/>
          <w:i w:val="1"/>
          <w:color w:val="000000"/>
          <w:sz w:val="24"/>
          <w:szCs w:val="24"/>
        </w:rPr>
      </w:pPr>
      <w:bookmarkStart w:colFirst="0" w:colLast="0" w:name="_heading=h.ihv636" w:id="34"/>
      <w:bookmarkEnd w:id="34"/>
      <w:r w:rsidDel="00000000" w:rsidR="00000000" w:rsidRPr="00000000">
        <w:rPr>
          <w:rFonts w:ascii="Times New Roman" w:cs="Times New Roman" w:eastAsia="Times New Roman" w:hAnsi="Times New Roman"/>
          <w:i w:val="1"/>
          <w:color w:val="000000"/>
          <w:sz w:val="24"/>
          <w:szCs w:val="24"/>
          <w:rtl w:val="0"/>
        </w:rPr>
        <w:t xml:space="preserve">4.2.5. Ανάπτυξη κοινοτικών υπηρεσιών</w:t>
      </w:r>
    </w:p>
    <w:p w:rsidR="00000000" w:rsidDel="00000000" w:rsidP="00000000" w:rsidRDefault="00000000" w:rsidRPr="00000000" w14:paraId="00000213">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Τις τελευταίες δεκαετίες, οι περισσότερες χώρες παγκοσμίως έχουν υιοθετήσει ολοένα και περισσότερο μια προσέγγιση που βασίζεται στην κοινότητα για την περίθαλψη ψυχικής υγείας, απομακρυνόμενες από το μοντέλο της ενδονοσοκομειακής περίθαλψης. Ιστορικά, τα συστήματα ψυχικής υγείας στις χώρες του ΟΟΣΑ, βασίζονταν σε μεγάλο βαθμό στη μακρόχρονη νοσηλεία των ασθενών σε ιδρύματα, γεγονός που άλλαξε μετά το κίνημα της «αποϊδρυματοποίησης» που ξεκίνησε στην Τεργέστη της Ιταλίας (Hewlett &amp; Moran, 2014; Forti, 2014). </w:t>
      </w:r>
    </w:p>
    <w:p w:rsidR="00000000" w:rsidDel="00000000" w:rsidP="00000000" w:rsidRDefault="00000000" w:rsidRPr="00000000" w14:paraId="00000214">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Η οργάνωση των υπηρεσιών ψυχικής υγείας στις χώρες του ΟΟΣΑ παραμένει εξαιρετικά ετερογενής, με σημαντικές διαφορές στις κλίνες των εσωτερικών ασθενών. Όλες οι χώρες του ΟΟΣΑ, είτε παρέχουν ήδη τις περισσότερες υπηρεσίες ψυχικής υγείας εκτός των νοσοκομείων, είτε έχουν μεταβεί σε ένα κοινοτικό μοντέλο φροντίδας ως πολιτική προτεραιότητα, σύμφωνα με το Πλαίσιο Επιδόσεων Ψυχικής Υγείας του ΟΟΣΑ (OECD, 2019) και άλλες διεθνείς στρατηγικές, ιδίως το Σχέδιο Δράσης για την Ψυχική Υγεία του ΠΟΥ (ΠΟΥ, 2013[40]). Μεταξύ 2000 και 2018, ο μέσος αριθμός των ψυχιατρικών κλινών ανά 1.000 άτομα, μειώθηκε από 0,9 σε 0,68 στις χώρες του ΟΟΣΑ, με ιδιαίτερα σημαντικές μειώσεις στην Ιρλανδία (1,41 σε 0,34), τη Φινλανδία (1,03 σε 0,39) και τη Λετονία (1,86 σε 1,25) (Εικόνα 3.4). </w:t>
      </w:r>
    </w:p>
    <w:p w:rsidR="00000000" w:rsidDel="00000000" w:rsidP="00000000" w:rsidRDefault="00000000" w:rsidRPr="00000000" w14:paraId="0000021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Γράφημα 4.3. </w:t>
      </w:r>
      <w:r w:rsidDel="00000000" w:rsidR="00000000" w:rsidRPr="00000000">
        <w:rPr>
          <w:rFonts w:ascii="Times New Roman" w:cs="Times New Roman" w:eastAsia="Times New Roman" w:hAnsi="Times New Roman"/>
          <w:sz w:val="24"/>
          <w:szCs w:val="24"/>
          <w:rtl w:val="0"/>
        </w:rPr>
        <w:t xml:space="preserve">Ψυχιατρικές κλίνες ανά 1.000 άτομα</w:t>
      </w:r>
    </w:p>
    <w:p w:rsidR="00000000" w:rsidDel="00000000" w:rsidP="00000000" w:rsidRDefault="00000000" w:rsidRPr="00000000" w14:paraId="00000216">
      <w:pPr>
        <w:rPr>
          <w:b w:val="1"/>
        </w:rPr>
      </w:pPr>
      <w:r w:rsidDel="00000000" w:rsidR="00000000" w:rsidRPr="00000000">
        <w:rPr>
          <w:b w:val="1"/>
        </w:rPr>
        <w:drawing>
          <wp:inline distB="0" distT="0" distL="0" distR="0">
            <wp:extent cx="4679950" cy="6981825"/>
            <wp:docPr id="43" name=""/>
            <a:graphic>
              <a:graphicData uri="http://schemas.openxmlformats.org/drawingml/2006/chart">
                <c:chart r:id="rId16"/>
              </a:graphicData>
            </a:graphic>
          </wp:inline>
        </w:drawing>
      </w:r>
      <w:r w:rsidDel="00000000" w:rsidR="00000000" w:rsidRPr="00000000">
        <w:rPr>
          <w:rtl w:val="0"/>
        </w:rPr>
      </w:r>
    </w:p>
    <w:p w:rsidR="00000000" w:rsidDel="00000000" w:rsidP="00000000" w:rsidRDefault="00000000" w:rsidRPr="00000000" w14:paraId="00000217">
      <w:pPr>
        <w:spacing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Πηγή:</w:t>
      </w:r>
      <w:r w:rsidDel="00000000" w:rsidR="00000000" w:rsidRPr="00000000">
        <w:rPr>
          <w:rFonts w:ascii="Times New Roman" w:cs="Times New Roman" w:eastAsia="Times New Roman" w:hAnsi="Times New Roman"/>
          <w:sz w:val="20"/>
          <w:szCs w:val="20"/>
          <w:rtl w:val="0"/>
        </w:rPr>
        <w:t xml:space="preserve"> OECD (2020c), OECD Health Statistics 2020, </w:t>
      </w:r>
      <w:hyperlink r:id="rId17">
        <w:r w:rsidDel="00000000" w:rsidR="00000000" w:rsidRPr="00000000">
          <w:rPr>
            <w:rFonts w:ascii="Times New Roman" w:cs="Times New Roman" w:eastAsia="Times New Roman" w:hAnsi="Times New Roman"/>
            <w:color w:val="0000ff"/>
            <w:sz w:val="20"/>
            <w:szCs w:val="20"/>
            <w:u w:val="single"/>
            <w:rtl w:val="0"/>
          </w:rPr>
          <w:t xml:space="preserve">https://doi.org/10.1787/health-data-en</w:t>
        </w:r>
      </w:hyperlink>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218">
      <w:pPr>
        <w:spacing w:after="120" w:lineRule="auto"/>
        <w:ind w:firstLine="72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4"/>
          <w:szCs w:val="24"/>
          <w:rtl w:val="0"/>
        </w:rPr>
        <w:t xml:space="preserve">Ο αριθμός των κλινών αυξήθηκε μόνο στη Νορβηγία, τη Γερμανία και την Κορέα. Οι αλλαγές που πραγματοποιήθηκαν στη χώρα μας, ακολουθούν σχεδόν το μέσο όρο των χωρών του ΟΟΣΑ, δεδομένων των ψυχιατρικών μεταρρυθμίσεων που πραγματοποιήθηκαν τις τελευταίες δύο δεκαετίες και τη μεταστροφή σε ένα μοντέλο  κοινοτικής φροντίδας. </w:t>
      </w:r>
      <w:r w:rsidDel="00000000" w:rsidR="00000000" w:rsidRPr="00000000">
        <w:rPr>
          <w:rtl w:val="0"/>
        </w:rPr>
      </w:r>
    </w:p>
    <w:p w:rsidR="00000000" w:rsidDel="00000000" w:rsidP="00000000" w:rsidRDefault="00000000" w:rsidRPr="00000000" w14:paraId="00000219">
      <w:pPr>
        <w:pStyle w:val="Heading2"/>
        <w:spacing w:after="120" w:lineRule="auto"/>
        <w:jc w:val="center"/>
        <w:rPr>
          <w:rFonts w:ascii="Times New Roman" w:cs="Times New Roman" w:eastAsia="Times New Roman" w:hAnsi="Times New Roman"/>
          <w:i w:val="1"/>
          <w:color w:val="000000"/>
          <w:sz w:val="24"/>
          <w:szCs w:val="24"/>
        </w:rPr>
      </w:pPr>
      <w:bookmarkStart w:colFirst="0" w:colLast="0" w:name="_heading=h.32hioqz" w:id="35"/>
      <w:bookmarkEnd w:id="35"/>
      <w:r w:rsidDel="00000000" w:rsidR="00000000" w:rsidRPr="00000000">
        <w:rPr>
          <w:rFonts w:ascii="Times New Roman" w:cs="Times New Roman" w:eastAsia="Times New Roman" w:hAnsi="Times New Roman"/>
          <w:i w:val="1"/>
          <w:color w:val="000000"/>
          <w:sz w:val="24"/>
          <w:szCs w:val="24"/>
          <w:rtl w:val="0"/>
        </w:rPr>
        <w:t xml:space="preserve">4.2.6. Χρήση ενδονοσοκομειακών υπηρεσιών</w:t>
      </w:r>
    </w:p>
    <w:p w:rsidR="00000000" w:rsidDel="00000000" w:rsidP="00000000" w:rsidRDefault="00000000" w:rsidRPr="00000000" w14:paraId="0000021A">
      <w:pPr>
        <w:spacing w:after="12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Οι εισαγωγές στο πλαίσιο της νοσοκομειακής περίθαλψης ποικίλλουν από χώρα σε χώρα (Γράφημα 4.4). </w:t>
      </w:r>
    </w:p>
    <w:p w:rsidR="00000000" w:rsidDel="00000000" w:rsidP="00000000" w:rsidRDefault="00000000" w:rsidRPr="00000000" w14:paraId="0000021B">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Γράφημα 4.4. </w:t>
      </w:r>
      <w:r w:rsidDel="00000000" w:rsidR="00000000" w:rsidRPr="00000000">
        <w:rPr>
          <w:rFonts w:ascii="Times New Roman" w:cs="Times New Roman" w:eastAsia="Times New Roman" w:hAnsi="Times New Roman"/>
          <w:sz w:val="24"/>
          <w:szCs w:val="24"/>
          <w:rtl w:val="0"/>
        </w:rPr>
        <w:t xml:space="preserve">Ενδονοσοκομειακές εισαγωγές ανάμεσα στις χώρες του ΟΟΣΑ για το έτος 2019 ή πιο πρόσφατα (ανά 1.000 άτομα)</w:t>
      </w:r>
      <w:r w:rsidDel="00000000" w:rsidR="00000000" w:rsidRPr="00000000">
        <w:rPr>
          <w:rtl w:val="0"/>
        </w:rPr>
      </w:r>
    </w:p>
    <w:p w:rsidR="00000000" w:rsidDel="00000000" w:rsidP="00000000" w:rsidRDefault="00000000" w:rsidRPr="00000000" w14:paraId="0000021C">
      <w:pPr>
        <w:rPr>
          <w:b w:val="1"/>
        </w:rPr>
      </w:pPr>
      <w:r w:rsidDel="00000000" w:rsidR="00000000" w:rsidRPr="00000000">
        <w:rPr>
          <w:b w:val="1"/>
        </w:rPr>
        <w:drawing>
          <wp:inline distB="0" distT="0" distL="0" distR="0">
            <wp:extent cx="4810125" cy="4343400"/>
            <wp:docPr id="42" name=""/>
            <a:graphic>
              <a:graphicData uri="http://schemas.openxmlformats.org/drawingml/2006/chart">
                <c:chart r:id="rId18"/>
              </a:graphicData>
            </a:graphic>
          </wp:inline>
        </w:drawing>
      </w:r>
      <w:r w:rsidDel="00000000" w:rsidR="00000000" w:rsidRPr="00000000">
        <w:rPr>
          <w:rtl w:val="0"/>
        </w:rPr>
      </w:r>
    </w:p>
    <w:p w:rsidR="00000000" w:rsidDel="00000000" w:rsidP="00000000" w:rsidRDefault="00000000" w:rsidRPr="00000000" w14:paraId="0000021D">
      <w:pPr>
        <w:spacing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Πηγή:</w:t>
      </w:r>
      <w:r w:rsidDel="00000000" w:rsidR="00000000" w:rsidRPr="00000000">
        <w:rPr>
          <w:rFonts w:ascii="Times New Roman" w:cs="Times New Roman" w:eastAsia="Times New Roman" w:hAnsi="Times New Roman"/>
          <w:sz w:val="20"/>
          <w:szCs w:val="20"/>
          <w:rtl w:val="0"/>
        </w:rPr>
        <w:t xml:space="preserve"> OECD (2021), A New Benchmark for Mental Health Systems (ιδία επεξεργασία).</w:t>
      </w:r>
    </w:p>
    <w:p w:rsidR="00000000" w:rsidDel="00000000" w:rsidP="00000000" w:rsidRDefault="00000000" w:rsidRPr="00000000" w14:paraId="0000021E">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Χώρες με πολύ λίγες κλίνες εσωτερικών ασθενών, όπως είναι η Ιταλία, το Μεξικό, η Τουρκία και το Ηνωμένο Βασίλειο, τείνουν να έχουν πολύ μικρό αριθμό εισαγωγών για ενδονοσοκομειακή περίθαλψη, τόσο ως προς τον συνολικό αριθμό των εισαγωγών όσο και ως προς τον αριθμό των ασθενών που εισάγονται για ενδονοσοκομειακή περίθαλψη. Αντιθέτως, οι χώρες που έχουν υψηλότερους αριθμούς ψυχιατρικών κλινών, εμφανίζουν υψηλότερα ποσοστά εισαγωγής για ενδονοσοκομειακή περίθαλψη. Ωστόσο, δεν είναι σαφές εάν αυτή η τάση οφείλεται στη μεγαλύτερη χρήση υπηρεσιών ψυχικής υγείας από τους «εσωτερικούς» ασθενείς και στις λιγότερες εναλλακτικές λύσεις εκτός του νοσοκομείου ή επειδή υπάρχει η τάση να χρησιμοποιούνται τα διαθέσιμα κρεβάτια.  «χρήση διαθέσιμων κρεβατιών».</w:t>
      </w:r>
      <w:r w:rsidDel="00000000" w:rsidR="00000000" w:rsidRPr="00000000">
        <w:rPr>
          <w:rtl w:val="0"/>
        </w:rPr>
        <w:t xml:space="preserve"> </w:t>
      </w:r>
      <w:r w:rsidDel="00000000" w:rsidR="00000000" w:rsidRPr="00000000">
        <w:rPr>
          <w:rFonts w:ascii="Times New Roman" w:cs="Times New Roman" w:eastAsia="Times New Roman" w:hAnsi="Times New Roman"/>
          <w:sz w:val="24"/>
          <w:szCs w:val="24"/>
          <w:rtl w:val="0"/>
        </w:rPr>
        <w:t xml:space="preserve">Τα δεδομένα που συλλέχθηκαν από 11 χώρες</w:t>
      </w:r>
      <w:r w:rsidDel="00000000" w:rsidR="00000000" w:rsidRPr="00000000">
        <w:rPr>
          <w:rtl w:val="0"/>
        </w:rPr>
        <w:t xml:space="preserve"> (</w:t>
      </w:r>
      <w:r w:rsidDel="00000000" w:rsidR="00000000" w:rsidRPr="00000000">
        <w:rPr>
          <w:rFonts w:ascii="Times New Roman" w:cs="Times New Roman" w:eastAsia="Times New Roman" w:hAnsi="Times New Roman"/>
          <w:sz w:val="24"/>
          <w:szCs w:val="24"/>
          <w:rtl w:val="0"/>
        </w:rPr>
        <w:t xml:space="preserve">Αυστραλία, Καναδάς, Αγγλία, Ιρλανδία, Νέα Ζηλανδία, Βόρεια Ιρλανδία, Ολλανδία, Ιαπωνία, Σκωτία, Σουηδία και Ουαλία), στο πλαίσιο ενός έργου συγκριτικής αξιολόγησης, φαίνεται να επιβεβαιώνουν ότι η διαθεσιμότητα των κρεβατιών, αποτελεί βασικό μοχλό της αύξησης των ποσοστών εισαγωγής ασθενών για ενδονοσοκομειακή περίθαλψη (NHS Benchmarking Network, 2019). </w:t>
      </w:r>
    </w:p>
    <w:p w:rsidR="00000000" w:rsidDel="00000000" w:rsidP="00000000" w:rsidRDefault="00000000" w:rsidRPr="00000000" w14:paraId="0000021F">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Σε ό,τι αφορά στο μέσο χρόνο ενδοσοκομειακής νοσηλείας, στην πλειονότητα των χωρών του ΟΟΣΑ, κυμαίνεται μεταξύ 10 και 40 ημερών (Γράφημα 4.5). Η Ισπανία, η Ελλάδα και η Κορέα εμφανίζουν τους υψηλότερους χρόνους ενδοσοκομειακής νοσηλείας, με μέσο όρο τις 56, τις 96 και τις 176 ημέρες αντίστοιχα. Στην Κορέα, η νοσοκομειακή περίθαλψη παραμένει η κύρια επιλογή για την περίθαλψη των προβλημάτων ψυχικής υγείας και είναι πολύ πιο διαδεδομένη από την εξωνοσοκομειακή ή την κοινοτική φροντίδα. Αυτό αντανακλάται και στην αύξηση των ψυχιατρικών κλινών τις τελευταίες δεκαετίες, η οποία παρουσιάζει αύξηση άνω του 200%.</w:t>
      </w:r>
    </w:p>
    <w:p w:rsidR="00000000" w:rsidDel="00000000" w:rsidP="00000000" w:rsidRDefault="00000000" w:rsidRPr="00000000" w14:paraId="00000220">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Γράφημα 4.5.</w:t>
      </w:r>
      <w:r w:rsidDel="00000000" w:rsidR="00000000" w:rsidRPr="00000000">
        <w:rPr>
          <w:rFonts w:ascii="Times New Roman" w:cs="Times New Roman" w:eastAsia="Times New Roman" w:hAnsi="Times New Roman"/>
          <w:sz w:val="24"/>
          <w:szCs w:val="24"/>
          <w:rtl w:val="0"/>
        </w:rPr>
        <w:t xml:space="preserve"> Μέσος χρόνος ενδονοσοκομειακής νοσηλείας για ψυχικές διαταραχές και διαταραχές συμπεριφοράς (2018 ή πιο πρόσφατα, σε ημέρες)</w:t>
      </w:r>
    </w:p>
    <w:p w:rsidR="00000000" w:rsidDel="00000000" w:rsidP="00000000" w:rsidRDefault="00000000" w:rsidRPr="00000000" w14:paraId="00000221">
      <w:pPr>
        <w:rPr>
          <w:b w:val="1"/>
        </w:rPr>
      </w:pPr>
      <w:r w:rsidDel="00000000" w:rsidR="00000000" w:rsidRPr="00000000">
        <w:rPr>
          <w:b w:val="1"/>
        </w:rPr>
        <w:drawing>
          <wp:inline distB="0" distT="0" distL="0" distR="0">
            <wp:extent cx="4679950" cy="6562725"/>
            <wp:docPr id="46" name=""/>
            <a:graphic>
              <a:graphicData uri="http://schemas.openxmlformats.org/drawingml/2006/chart">
                <c:chart r:id="rId19"/>
              </a:graphicData>
            </a:graphic>
          </wp:inline>
        </w:drawing>
      </w:r>
      <w:r w:rsidDel="00000000" w:rsidR="00000000" w:rsidRPr="00000000">
        <w:rPr>
          <w:rtl w:val="0"/>
        </w:rPr>
      </w:r>
    </w:p>
    <w:p w:rsidR="00000000" w:rsidDel="00000000" w:rsidP="00000000" w:rsidRDefault="00000000" w:rsidRPr="00000000" w14:paraId="00000222">
      <w:pPr>
        <w:spacing w:line="240" w:lineRule="auto"/>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Πηγή: </w:t>
      </w:r>
      <w:r w:rsidDel="00000000" w:rsidR="00000000" w:rsidRPr="00000000">
        <w:rPr>
          <w:rFonts w:ascii="Times New Roman" w:cs="Times New Roman" w:eastAsia="Times New Roman" w:hAnsi="Times New Roman"/>
          <w:sz w:val="20"/>
          <w:szCs w:val="20"/>
          <w:rtl w:val="0"/>
        </w:rPr>
        <w:t xml:space="preserve">OECD (2020c), OECD Health Statistics 2020, </w:t>
      </w:r>
      <w:hyperlink r:id="rId20">
        <w:r w:rsidDel="00000000" w:rsidR="00000000" w:rsidRPr="00000000">
          <w:rPr>
            <w:rFonts w:ascii="Times New Roman" w:cs="Times New Roman" w:eastAsia="Times New Roman" w:hAnsi="Times New Roman"/>
            <w:color w:val="0000ff"/>
            <w:sz w:val="20"/>
            <w:szCs w:val="20"/>
            <w:u w:val="single"/>
            <w:rtl w:val="0"/>
          </w:rPr>
          <w:t xml:space="preserve">https://doi.org/10.1787/health-data-en</w:t>
        </w:r>
      </w:hyperlink>
      <w:r w:rsidDel="00000000" w:rsidR="00000000" w:rsidRPr="00000000">
        <w:rPr>
          <w:rFonts w:ascii="Times New Roman" w:cs="Times New Roman" w:eastAsia="Times New Roman" w:hAnsi="Times New Roman"/>
          <w:sz w:val="20"/>
          <w:szCs w:val="20"/>
          <w:rtl w:val="0"/>
        </w:rPr>
        <w:t xml:space="preserve">. </w:t>
      </w:r>
      <w:r w:rsidDel="00000000" w:rsidR="00000000" w:rsidRPr="00000000">
        <w:rPr>
          <w:rtl w:val="0"/>
        </w:rPr>
      </w:r>
    </w:p>
    <w:p w:rsidR="00000000" w:rsidDel="00000000" w:rsidP="00000000" w:rsidRDefault="00000000" w:rsidRPr="00000000" w14:paraId="00000223">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Είναι αρκετά δύσκολο να καταγραφεί ο βαθμός στον οποίο οι χώρες έχουν αντικαταστήσει τις υπηρεσίες που βασίζονται στα νοσοκομεία με τις κοινοτικές υπηρεσίες και κατά πόσο είναι διαθέσιμες αυτές οι υπηρεσίες στην κοινότητα. Το Μεξικό και η Ελλάδα, εμφανίζουν τον χαμηλότερο αριθμό ατόμων που παρακολουθούνται σε εξωνοσοκομειακές μονάδες ψυχικής υγείας, με 2 και 5 άτομα αντίστοιχα ανά 10.000 άτομα. Με βάση αυτά τα δεδομένα, φαίνεται πως η κοινοτική φροντίδα μέσω των εξωτερικών ιατρείων ή των κοινοτικών υπηρεσιών είναι πολύ περιορισμένη. Αντιθέτως, ο αντίστοιχος αριθμός σε χώρες όπως είναι η Τουρκία και η Τσεχία, είναι σχεδόν διπλάσιος από το μέσο όρο των χωρών του ΟΟΣΑ. </w:t>
      </w:r>
    </w:p>
    <w:p w:rsidR="00000000" w:rsidDel="00000000" w:rsidP="00000000" w:rsidRDefault="00000000" w:rsidRPr="00000000" w14:paraId="00000224">
      <w:pPr>
        <w:spacing w:line="276"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Γράφημα 4.6. </w:t>
      </w:r>
      <w:r w:rsidDel="00000000" w:rsidR="00000000" w:rsidRPr="00000000">
        <w:rPr>
          <w:rFonts w:ascii="Times New Roman" w:cs="Times New Roman" w:eastAsia="Times New Roman" w:hAnsi="Times New Roman"/>
          <w:sz w:val="24"/>
          <w:szCs w:val="24"/>
          <w:rtl w:val="0"/>
        </w:rPr>
        <w:t xml:space="preserve">Άτομα που παρακολουθούνται σε εξωνοσοκομειακές μονάδες/ιατρεία ψυχικής υγείας (2018 ή πιο πρόσφατα στοιχεία, ανά 1.000 άτομα)</w:t>
      </w:r>
      <w:r w:rsidDel="00000000" w:rsidR="00000000" w:rsidRPr="00000000">
        <w:rPr>
          <w:rtl w:val="0"/>
        </w:rPr>
      </w:r>
    </w:p>
    <w:p w:rsidR="00000000" w:rsidDel="00000000" w:rsidP="00000000" w:rsidRDefault="00000000" w:rsidRPr="00000000" w14:paraId="00000225">
      <w:pPr>
        <w:rPr>
          <w:b w:val="1"/>
        </w:rPr>
      </w:pPr>
      <w:r w:rsidDel="00000000" w:rsidR="00000000" w:rsidRPr="00000000">
        <w:rPr>
          <w:b w:val="1"/>
        </w:rPr>
        <w:drawing>
          <wp:inline distB="0" distT="0" distL="0" distR="0">
            <wp:extent cx="4679950" cy="3867150"/>
            <wp:docPr id="44" name=""/>
            <a:graphic>
              <a:graphicData uri="http://schemas.openxmlformats.org/drawingml/2006/chart">
                <c:chart r:id="rId21"/>
              </a:graphicData>
            </a:graphic>
          </wp:inline>
        </w:drawing>
      </w:r>
      <w:r w:rsidDel="00000000" w:rsidR="00000000" w:rsidRPr="00000000">
        <w:rPr>
          <w:rtl w:val="0"/>
        </w:rPr>
      </w:r>
    </w:p>
    <w:p w:rsidR="00000000" w:rsidDel="00000000" w:rsidP="00000000" w:rsidRDefault="00000000" w:rsidRPr="00000000" w14:paraId="00000226">
      <w:pPr>
        <w:spacing w:line="240" w:lineRule="auto"/>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Πηγή: </w:t>
      </w:r>
      <w:r w:rsidDel="00000000" w:rsidR="00000000" w:rsidRPr="00000000">
        <w:rPr>
          <w:rFonts w:ascii="Times New Roman" w:cs="Times New Roman" w:eastAsia="Times New Roman" w:hAnsi="Times New Roman"/>
          <w:sz w:val="20"/>
          <w:szCs w:val="20"/>
          <w:rtl w:val="0"/>
        </w:rPr>
        <w:t xml:space="preserve">OECD (2021), A New Benchmark for Mental Health Systems (ιδία επεξεργασία).</w:t>
      </w:r>
      <w:r w:rsidDel="00000000" w:rsidR="00000000" w:rsidRPr="00000000">
        <w:rPr>
          <w:rtl w:val="0"/>
        </w:rPr>
      </w:r>
    </w:p>
    <w:p w:rsidR="00000000" w:rsidDel="00000000" w:rsidP="00000000" w:rsidRDefault="00000000" w:rsidRPr="00000000" w14:paraId="00000227">
      <w:pPr>
        <w:pStyle w:val="Heading2"/>
        <w:spacing w:after="120" w:lineRule="auto"/>
        <w:jc w:val="center"/>
        <w:rPr>
          <w:rFonts w:ascii="Times New Roman" w:cs="Times New Roman" w:eastAsia="Times New Roman" w:hAnsi="Times New Roman"/>
          <w:i w:val="1"/>
          <w:color w:val="000000"/>
          <w:sz w:val="24"/>
          <w:szCs w:val="24"/>
        </w:rPr>
      </w:pPr>
      <w:bookmarkStart w:colFirst="0" w:colLast="0" w:name="_heading=h.1hmsyys" w:id="36"/>
      <w:bookmarkEnd w:id="36"/>
      <w:r w:rsidDel="00000000" w:rsidR="00000000" w:rsidRPr="00000000">
        <w:rPr>
          <w:rFonts w:ascii="Times New Roman" w:cs="Times New Roman" w:eastAsia="Times New Roman" w:hAnsi="Times New Roman"/>
          <w:i w:val="1"/>
          <w:color w:val="000000"/>
          <w:sz w:val="24"/>
          <w:szCs w:val="24"/>
          <w:rtl w:val="0"/>
        </w:rPr>
        <w:t xml:space="preserve">4.2.7. Διασφάλιση της συνέχειας της φροντίδας </w:t>
      </w:r>
    </w:p>
    <w:p w:rsidR="00000000" w:rsidDel="00000000" w:rsidP="00000000" w:rsidRDefault="00000000" w:rsidRPr="00000000" w14:paraId="00000228">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Ενώ τα στοιχεία δείχνουν ότι η απομάκρυνση από το ενδονοσοκομειακό περιβάλλον περίθαλψης και η αύξηση των κοινοτικών υπηρεσιών ψυχικής υγείας μπορούν να βελτιώσουν την ποιότητα και την προσβασιμότητα της περίθαλψης, η αλλαγή στα συστήματα ψυχικής υγείας οδηγεί σε πρόσθετες προκλήσεις όπως είναι η διασφάλιση της συνέχειας της φροντίδας. Δεν είναι μόνο η συνέχεια της φροντίδας μεταξύ των διαφόρων ειδικών, αλλά και η διαχρονική συνέχεια της φροντίδας, η οποία αναφέρεται στην ικανότητα των επαγγελματιών και των υπηρεσιών να παρέχουν φροντίδα για μεγαλύτερες χρονικές περιόδους, διατηρώντας παράλληλα μια καλή ποιότητα σχέσης ασθενή-παρόχου.</w:t>
      </w:r>
    </w:p>
    <w:p w:rsidR="00000000" w:rsidDel="00000000" w:rsidP="00000000" w:rsidRDefault="00000000" w:rsidRPr="00000000" w14:paraId="00000229">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Η αξιολόγηση της διασφάλισης της συνέχειας της φροντίδας, αποτελεί μια σημαντική πρόκληση δεδομένης της πολυπλοκότητας των συστημάτων ψυχικής υγείας και κυρίως λόγω των ελλείψεων στη διαθεσιμότητα των δεδομένων. Τα δεδομένα για τη συνέχεια της περίθαλψης είναι περιορισμένα</w:t>
      </w:r>
      <w:r w:rsidDel="00000000" w:rsidR="00000000" w:rsidRPr="00000000">
        <w:rPr>
          <w:rtl w:val="0"/>
        </w:rPr>
        <w:t xml:space="preserve"> </w:t>
      </w:r>
      <w:r w:rsidDel="00000000" w:rsidR="00000000" w:rsidRPr="00000000">
        <w:rPr>
          <w:rFonts w:ascii="Times New Roman" w:cs="Times New Roman" w:eastAsia="Times New Roman" w:hAnsi="Times New Roman"/>
          <w:sz w:val="24"/>
          <w:szCs w:val="24"/>
          <w:rtl w:val="0"/>
        </w:rPr>
        <w:t xml:space="preserve">σε όλες τις χώρες, αλλά τα διαθέσιμα στοιχεία υποδεικνύουν τη συνεχιζόμενη πρόκληση της παροχής υψηλής ποιότητας και συνεπούς φροντίδας. Το 2020, οκτώ χώρες του ΟΟΣΑ, η Αυστραλία, το Ισραήλ, η Ιταλία, η Λιθουανία, η Νέα Ζηλανδία, η Νορβηγία, η Τουρκία και το Ηνωμένο Βασίλειο, παρείχαν δεδομένα σχετικά με το ποσοστό των χρηστών υπηρεσιών ψυχικής υγείας, που παρακολουθήθηκαν μετά την έξοδό τους από την ενδονοσοκομειακή νοσηλεία. Το ποσοστό των χρηστών υπηρεσιών που έλαβαν παρακολούθηση, κυμαινόταν από 37,4% στην Ιταλία εντός 14 ημερών, έως 98,80% εντός 7 ημερών στην Αγγλία το 2018 (OECD, 2021). Στη χώρα μας, δεν υπάρχουν διαθέσιμα δεδομένα σχετικά με τη συνέχεια της φροντίδας και την παρακολούθηση. </w:t>
      </w:r>
    </w:p>
    <w:p w:rsidR="00000000" w:rsidDel="00000000" w:rsidP="00000000" w:rsidRDefault="00000000" w:rsidRPr="00000000" w14:paraId="0000022A">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2B">
      <w:pPr>
        <w:pStyle w:val="Heading2"/>
        <w:spacing w:after="120" w:lineRule="auto"/>
        <w:jc w:val="center"/>
        <w:rPr>
          <w:rFonts w:ascii="Times New Roman" w:cs="Times New Roman" w:eastAsia="Times New Roman" w:hAnsi="Times New Roman"/>
          <w:i w:val="1"/>
          <w:color w:val="000000"/>
          <w:sz w:val="24"/>
          <w:szCs w:val="24"/>
        </w:rPr>
      </w:pPr>
      <w:bookmarkStart w:colFirst="0" w:colLast="0" w:name="_heading=h.41mghml" w:id="37"/>
      <w:bookmarkEnd w:id="37"/>
      <w:r w:rsidDel="00000000" w:rsidR="00000000" w:rsidRPr="00000000">
        <w:rPr>
          <w:rFonts w:ascii="Times New Roman" w:cs="Times New Roman" w:eastAsia="Times New Roman" w:hAnsi="Times New Roman"/>
          <w:i w:val="1"/>
          <w:color w:val="000000"/>
          <w:sz w:val="24"/>
          <w:szCs w:val="24"/>
          <w:rtl w:val="0"/>
        </w:rPr>
        <w:t xml:space="preserve">4.2.8. Πρόσβαση σε ψυχοθεραπεία</w:t>
      </w:r>
    </w:p>
    <w:p w:rsidR="00000000" w:rsidDel="00000000" w:rsidP="00000000" w:rsidRDefault="00000000" w:rsidRPr="00000000" w14:paraId="0000022C">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Οι θεραπείες ομιλίας ή η ψυχοθεραπεία, όπως αναφέρεται κοινώς, είναι μια τεκμηριωμένη παρέμβαση για μια σειρά από προβλήματα ψυχικής υγείας όπως είναι η κατάθλιψη και το άγχος έως και για σοβαρότερες διαταραχές, όπως είναι η ιδεοψυχαναγκαστική διαταραχή, η διπολική διαταραχή και η σχιζοφρένεια. Στις περισσότερες χώρες του ΟΟΣΑ, οι ψυχολογικές θεραπείες που παρέχονται από ψυχολόγο καλύπτονται πλήρως ή εν μέρει, και στις περισσότερες χώρες μια σειρά από άλλες υπηρεσίες καλύπτονται επίσης πλήρως ή εν μέρει. Επιπλέον, σε 12 χώρες οι επαγγελματίες πρωτοβάθμιας περίθαλψης παρέχουν κάποια μορφή θεραπείας ομιλίας ή ψυχοθεραπείας (Εικόνα 4.5).</w:t>
      </w:r>
      <w:r w:rsidDel="00000000" w:rsidR="00000000" w:rsidRPr="00000000">
        <w:rPr>
          <w:rtl w:val="0"/>
        </w:rPr>
        <w:t xml:space="preserve"> </w:t>
      </w:r>
      <w:r w:rsidDel="00000000" w:rsidR="00000000" w:rsidRPr="00000000">
        <w:rPr>
          <w:rFonts w:ascii="Times New Roman" w:cs="Times New Roman" w:eastAsia="Times New Roman" w:hAnsi="Times New Roman"/>
          <w:sz w:val="24"/>
          <w:szCs w:val="24"/>
          <w:rtl w:val="0"/>
        </w:rPr>
        <w:t xml:space="preserve">Στην Ελλάδα, οι θεραπείες ομιλίας ή ψυχοθεραπείες, παρέχονται μόνο από λίγους παρόχους πρωτοβάθμιας φροντίδας.</w:t>
      </w:r>
    </w:p>
    <w:p w:rsidR="00000000" w:rsidDel="00000000" w:rsidP="00000000" w:rsidRDefault="00000000" w:rsidRPr="00000000" w14:paraId="0000022D">
      <w:pPr>
        <w:spacing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sz w:val="24"/>
          <w:szCs w:val="24"/>
          <w:rtl w:val="0"/>
        </w:rPr>
        <w:t xml:space="preserve">Εικόνα 4.5.</w:t>
      </w:r>
      <w:r w:rsidDel="00000000" w:rsidR="00000000" w:rsidRPr="00000000">
        <w:rPr>
          <w:rFonts w:ascii="Times New Roman" w:cs="Times New Roman" w:eastAsia="Times New Roman" w:hAnsi="Times New Roman"/>
          <w:sz w:val="24"/>
          <w:szCs w:val="24"/>
          <w:rtl w:val="0"/>
        </w:rPr>
        <w:t xml:space="preserve"> Θεραπείες ομιλίας από παρόχους πρωτοβάθμιας φροντίδας για το έτος 2020</w:t>
      </w:r>
      <w:r w:rsidDel="00000000" w:rsidR="00000000" w:rsidRPr="00000000">
        <w:rPr>
          <w:rtl w:val="0"/>
        </w:rPr>
      </w:r>
    </w:p>
    <w:p w:rsidR="00000000" w:rsidDel="00000000" w:rsidP="00000000" w:rsidRDefault="00000000" w:rsidRPr="00000000" w14:paraId="0000022E">
      <w:pPr>
        <w:rPr>
          <w:b w:val="1"/>
        </w:rPr>
      </w:pPr>
      <w:r w:rsidDel="00000000" w:rsidR="00000000" w:rsidRPr="00000000">
        <w:rPr/>
        <w:drawing>
          <wp:inline distB="0" distT="0" distL="0" distR="0">
            <wp:extent cx="4679950" cy="1971675"/>
            <wp:docPr id="45" name=""/>
            <a:graphic>
              <a:graphicData uri="http://schemas.openxmlformats.org/drawingml/2006/chart">
                <c:chart r:id="rId22"/>
              </a:graphicData>
            </a:graphic>
          </wp:inline>
        </w:drawing>
      </w:r>
      <w:r w:rsidDel="00000000" w:rsidR="00000000" w:rsidRPr="00000000">
        <w:rPr>
          <w:rtl w:val="0"/>
        </w:rPr>
      </w:r>
    </w:p>
    <w:p w:rsidR="00000000" w:rsidDel="00000000" w:rsidP="00000000" w:rsidRDefault="00000000" w:rsidRPr="00000000" w14:paraId="0000022F">
      <w:pPr>
        <w:rPr>
          <w:b w:val="1"/>
        </w:rPr>
      </w:pPr>
      <w:r w:rsidDel="00000000" w:rsidR="00000000" w:rsidRPr="00000000">
        <w:rPr>
          <w:rtl w:val="0"/>
        </w:rPr>
      </w:r>
    </w:p>
    <w:tbl>
      <w:tblPr>
        <w:tblStyle w:val="Table9"/>
        <w:tblW w:w="6694.0" w:type="dxa"/>
        <w:jc w:val="left"/>
        <w:tblInd w:w="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1701"/>
        <w:gridCol w:w="1843"/>
        <w:gridCol w:w="1701"/>
        <w:gridCol w:w="1449"/>
        <w:tblGridChange w:id="0">
          <w:tblGrid>
            <w:gridCol w:w="1701"/>
            <w:gridCol w:w="1843"/>
            <w:gridCol w:w="1701"/>
            <w:gridCol w:w="1449"/>
          </w:tblGrid>
        </w:tblGridChange>
      </w:tblGrid>
      <w:tr>
        <w:trPr>
          <w:cantSplit w:val="1"/>
          <w:trHeight w:val="1975" w:hRule="atLeast"/>
          <w:tblHeader w:val="0"/>
        </w:trPr>
        <w:tc>
          <w:tcPr>
            <w:vAlign w:val="center"/>
          </w:tcPr>
          <w:p w:rsidR="00000000" w:rsidDel="00000000" w:rsidP="00000000" w:rsidRDefault="00000000" w:rsidRPr="00000000" w14:paraId="00000230">
            <w:pPr>
              <w:ind w:left="113" w:right="113" w:firstLine="0"/>
              <w:jc w:val="right"/>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Ναι, από όλους τους παρόχους πρωτοβάθμιας φροντίδας</w:t>
            </w:r>
          </w:p>
        </w:tc>
        <w:tc>
          <w:tcPr>
            <w:vAlign w:val="center"/>
          </w:tcPr>
          <w:p w:rsidR="00000000" w:rsidDel="00000000" w:rsidP="00000000" w:rsidRDefault="00000000" w:rsidRPr="00000000" w14:paraId="00000231">
            <w:pPr>
              <w:ind w:right="113"/>
              <w:jc w:val="right"/>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Ναι, από κάποιους παρόχους πρωτοβάθμιας φροντίδας</w:t>
            </w:r>
          </w:p>
        </w:tc>
        <w:tc>
          <w:tcPr>
            <w:vAlign w:val="center"/>
          </w:tcPr>
          <w:p w:rsidR="00000000" w:rsidDel="00000000" w:rsidP="00000000" w:rsidRDefault="00000000" w:rsidRPr="00000000" w14:paraId="00000232">
            <w:pPr>
              <w:ind w:left="113" w:right="113" w:firstLine="0"/>
              <w:jc w:val="right"/>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Ναι, από λίγους παρόχους πρωτοβάθμιας φροντίδας</w:t>
            </w:r>
          </w:p>
        </w:tc>
        <w:tc>
          <w:tcPr>
            <w:vAlign w:val="center"/>
          </w:tcPr>
          <w:p w:rsidR="00000000" w:rsidDel="00000000" w:rsidP="00000000" w:rsidRDefault="00000000" w:rsidRPr="00000000" w14:paraId="00000233">
            <w:pPr>
              <w:ind w:left="113" w:right="113" w:firstLine="0"/>
              <w:jc w:val="right"/>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  Όχι</w:t>
            </w:r>
          </w:p>
        </w:tc>
      </w:tr>
    </w:tbl>
    <w:p w:rsidR="00000000" w:rsidDel="00000000" w:rsidP="00000000" w:rsidRDefault="00000000" w:rsidRPr="00000000" w14:paraId="00000234">
      <w:pPr>
        <w:spacing w:line="240" w:lineRule="auto"/>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Πηγή: </w:t>
      </w:r>
      <w:r w:rsidDel="00000000" w:rsidR="00000000" w:rsidRPr="00000000">
        <w:rPr>
          <w:rFonts w:ascii="Times New Roman" w:cs="Times New Roman" w:eastAsia="Times New Roman" w:hAnsi="Times New Roman"/>
          <w:sz w:val="20"/>
          <w:szCs w:val="20"/>
          <w:rtl w:val="0"/>
        </w:rPr>
        <w:t xml:space="preserve">OECD (2021), A New Benchmark for Mental Health Systems (ιδία επεξεργασία).</w:t>
      </w:r>
      <w:r w:rsidDel="00000000" w:rsidR="00000000" w:rsidRPr="00000000">
        <w:rPr>
          <w:rtl w:val="0"/>
        </w:rPr>
      </w:r>
    </w:p>
    <w:p w:rsidR="00000000" w:rsidDel="00000000" w:rsidP="00000000" w:rsidRDefault="00000000" w:rsidRPr="00000000" w14:paraId="00000235">
      <w:pPr>
        <w:pStyle w:val="Heading2"/>
        <w:spacing w:after="120" w:lineRule="auto"/>
        <w:jc w:val="center"/>
        <w:rPr>
          <w:rFonts w:ascii="Times New Roman" w:cs="Times New Roman" w:eastAsia="Times New Roman" w:hAnsi="Times New Roman"/>
          <w:i w:val="1"/>
          <w:color w:val="000000"/>
          <w:sz w:val="24"/>
          <w:szCs w:val="24"/>
        </w:rPr>
      </w:pPr>
      <w:bookmarkStart w:colFirst="0" w:colLast="0" w:name="_heading=h.2grqrue" w:id="38"/>
      <w:bookmarkEnd w:id="38"/>
      <w:r w:rsidDel="00000000" w:rsidR="00000000" w:rsidRPr="00000000">
        <w:rPr>
          <w:rFonts w:ascii="Times New Roman" w:cs="Times New Roman" w:eastAsia="Times New Roman" w:hAnsi="Times New Roman"/>
          <w:i w:val="1"/>
          <w:color w:val="000000"/>
          <w:sz w:val="24"/>
          <w:szCs w:val="24"/>
          <w:rtl w:val="0"/>
        </w:rPr>
        <w:t xml:space="preserve">4.2.9. Ολοκληρωμένη συνεχής κοινοτική φροντίδα για τη βελτίωση της ψυχικής υγείας για άτομα με σοβαρά προβλήματα ψυχικής υγείας</w:t>
      </w:r>
    </w:p>
    <w:p w:rsidR="00000000" w:rsidDel="00000000" w:rsidP="00000000" w:rsidRDefault="00000000" w:rsidRPr="00000000" w14:paraId="00000236">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Τα δεδομένα δείχνουν ότι τα συστήματα ψυχικής υγείας δεν είναι ακόμη σε θέση να παρέχουν τη φροντίδα που χρειάζονται τα άτομα με σοβαρές ψυχικές διαταραχές, ενώ παρουσιάζουν υψηλούς αριθμούς επανεισαγωγών, επαναλαμβανόμενες επισκέψεις στα επείγοντα και αυτοκτονίες μετά το εξιτήριο (OECD, 2021). Οι σοβαρές ψυχικές ασθένειες, είναι μια περίπλοκη κατάσταση και τα άτομα που νοσούν, συχνά εξαρτώνται από τη λήψη μακροχρόνιας περίθαλψης, ενώ είναι εξαιρετικά ευάλωτα σε μελλοντικά επεισόδια και παρουσιάζουν επίμονα συμπτώματα. </w:t>
      </w:r>
    </w:p>
    <w:p w:rsidR="00000000" w:rsidDel="00000000" w:rsidP="00000000" w:rsidRDefault="00000000" w:rsidRPr="00000000" w14:paraId="00000237">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Έχουν αναπτυχθεί διάφορα μοντέλα εξωνοσοκομειακής περίθαλψης για άτομα με σοβαρή ψυχική ασθένεια, ώστε να εξυπηρετηθούν οι περίπλοκες και συνεχείς ανάγκες φροντίδας τους. Το μοντέλο της «Δυναµικής θεραπείας στην κοινότητα» (ACT), το μοντέλο της «Διαχείρισης Περίπτωσης» (CM) και το «Εντατικό Μοντέλο Διαχείρισης» (ICM), είναι όλα μοντέλα που έχουν χρησιμοποιηθεί ή χρησιμοποιούνται επί του παρόντος σε διάφορα περιβάλλοντα φροντίδας, από διάφορες χώρες (OECD, 2021). Τα μοντέλα αυτά φροντίδας, υλοποιούνται από μια διεπιστημονική ομάδα επαγγελματιών, οι οποίοι προσφέρουν υπηρεσίες σε κοινοτικά περιβάλλοντα, βοηθώντας με ένα ευρύ φάσμα υπηρεσιών που μπορεί να περιλαμβάνουν τη διαχείριση των φαρμάκων, της στέγασης, την οικονομική διαχείριση και την αντιμετώπιση των καθημερινών προβλημάτων.</w:t>
      </w:r>
    </w:p>
    <w:p w:rsidR="00000000" w:rsidDel="00000000" w:rsidP="00000000" w:rsidRDefault="00000000" w:rsidRPr="00000000" w14:paraId="00000238">
      <w:pPr>
        <w:spacing w:after="12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Κάθε χώρα χρησιμοποιεί κάποιο από τα ανωτέρω μοντέλα και σε κάποιες περιπτώσεις με παραλλαγές. Για παράδειγμα, το 2006, η Γερμανία ανέπτυξε το μοντέλο ACCESS, το οποίο είναι μια ολοκληρωμένη θεραπεία φροντίδας βασισμένη στο μοντέλο ACT για ασθενείς με σχιζοφρένεια.  Άλλες χώρες όπως είναι η Νορβηγία, χρησιμοποιούν καινοτόμα προγράμματα, όπως είναι οι θεραπείες χωρίς φάρμακα, για άτομα με σοβαρά ψυχιατρικά προβλήματα. Στην Ελλάδα, χρησιμοποιείται ένα υβρίδιο του μοντέλου της «Δυναµικής θεραπείας στην κοινότητα» (ACT), από τις Κινητές Μονάδες Ψυχικής Υγείας (MMHU) για τη φροντίδα των ατόμων με σοβαρά ψυχιατρικά προβλήματα (Peritogiannis &amp; Tsoli, 2021).</w:t>
      </w:r>
    </w:p>
    <w:p w:rsidR="00000000" w:rsidDel="00000000" w:rsidP="00000000" w:rsidRDefault="00000000" w:rsidRPr="00000000" w14:paraId="00000239">
      <w:pPr>
        <w:pStyle w:val="Heading2"/>
        <w:spacing w:after="120" w:lineRule="auto"/>
        <w:jc w:val="center"/>
        <w:rPr>
          <w:rFonts w:ascii="Times New Roman" w:cs="Times New Roman" w:eastAsia="Times New Roman" w:hAnsi="Times New Roman"/>
          <w:i w:val="1"/>
          <w:color w:val="000000"/>
          <w:sz w:val="24"/>
          <w:szCs w:val="24"/>
        </w:rPr>
      </w:pPr>
      <w:bookmarkStart w:colFirst="0" w:colLast="0" w:name="_heading=h.vx1227" w:id="39"/>
      <w:bookmarkEnd w:id="39"/>
      <w:r w:rsidDel="00000000" w:rsidR="00000000" w:rsidRPr="00000000">
        <w:rPr>
          <w:rFonts w:ascii="Times New Roman" w:cs="Times New Roman" w:eastAsia="Times New Roman" w:hAnsi="Times New Roman"/>
          <w:i w:val="1"/>
          <w:color w:val="000000"/>
          <w:sz w:val="24"/>
          <w:szCs w:val="24"/>
          <w:rtl w:val="0"/>
        </w:rPr>
        <w:t xml:space="preserve">4.2.10. Χρήση μέτρων καταναγκασμού</w:t>
      </w:r>
    </w:p>
    <w:p w:rsidR="00000000" w:rsidDel="00000000" w:rsidP="00000000" w:rsidRDefault="00000000" w:rsidRPr="00000000" w14:paraId="0000023A">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Μολονότι οι χώρες εργάζονται συνεχώς προς την κατεύθυνση ενός μοντέλου όπου η περίθαλψη παρέχεται σε κοινοτικά περιβάλλοντα, η ενδονοσοκομειακή ψυχιατρική περίθαλψη παραμένει αναπόσπαστο μέρος, αν και σε διαφορετικό βαθμό, των συστημάτων ψυχικής υγείας του ΟΟΣΑ. Διεθνώς, έχουν γίνει προσπάθειες να μειωθεί η χρήση των καταναγκαστικών μέτρων, στον ελάχιστο δυνατό βαθμό και μόνο όπου και όταν απαιτείται.</w:t>
      </w:r>
    </w:p>
    <w:p w:rsidR="00000000" w:rsidDel="00000000" w:rsidP="00000000" w:rsidRDefault="00000000" w:rsidRPr="00000000" w14:paraId="0000023B">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Τόσο τα δεδομένα που συλλέγονται από τον ΟΟΣΑ, όσο και η βιβλιογραφία σχετικά με τη χρήση μέτρων καταναγκασμού, δείχνουν μια μεγάλη διακύμανση στη συχνότητα εμφάνισης και στη διάρκεια μεταξύ των χωρών, γεγονός που οφείλεται στις διαφορές στο νομοθετικό πλαίσιο και στις κλινικές κατευθυντήριες γραμμές για τα μέτρα καταναγκασμού (OECD, 2021). Επιπλέον, υπάρχει σημαντική διαφοροποίηση μεταξύ των χωρών όσον αφορά τον τρόπο με τον οποίο καταγράφουν τα μέτρα καταναγκασμού, ενώ στις περισσότερες χώρες δεν υπάρχει επί του παρόντος καμία κεντρική υπηρεσία που να συλλέγει, να αναλύει και να δημοσιεύει δεδομένα σχετικά με τη χρήση μέτρων καταναγκασμού. Όλες οι χώρες φαίνεται να χρησιμοποιούν σε κάποιο βαθμό διαφορετικά μέτρα καταναγκασμού (OECD, 2021). Η Ιαπωνία παρουσιάζει υψηλά ποσοστά απομόνωσης και περιορισμού. Σε σύγκριση με άλλες χώρες, η Ιαπωνία έχει λιγότερους ψυχολόγους, χαμηλότερη αναλογία ασθενών-προσωπικού και μεγαλύτερο αριθμό κλινών (WHO, 2018). Το Ηνωμένο Βασίλειο επιδεικνύει υψηλά ποσοστά περιορισμού και πολύ λιγότερο χρήση μέτρων καταναγκασμού ή απομόνωσης, κάτι που συνάδει με την εθνική πολιτική για τη χρήση καταναγκαστικών μέτρων. Στην Ελλάδα, το ποσοστό ακούσιων νοσηλειών, είναι τέσσερις φορές υψηλότερο από τον ευρωπαϊκό μέσο όρο, ενώ η εντολή για θεραπεία σε κοινοτικά πλαίσια δεν είναι καθιερωμένη νομοθετικά  (Turnpenny, Petri &amp; Finn, 2018). Δεν υπάρχουν επίσης επίσημα στατιστικά στοιχεία σχετικά με τα καταναγκαστικά μέτρα και την απομόνωση. Τέλος, οι εκθέσεις του Συνηγόρου του Πολίτη, υποδηλώνουν ότι τα μέτρα που λαμβάνονται κατά την ακούσια νοσηλεία είναι ανεπαρκή και παραβιάζουν τα δικαιώματα των ασθενών  (Turnpenny et al., 2018)</w:t>
      </w:r>
    </w:p>
    <w:p w:rsidR="00000000" w:rsidDel="00000000" w:rsidP="00000000" w:rsidRDefault="00000000" w:rsidRPr="00000000" w14:paraId="0000023C">
      <w:pPr>
        <w:pStyle w:val="Heading1"/>
        <w:jc w:val="center"/>
        <w:rPr>
          <w:rFonts w:ascii="Times New Roman" w:cs="Times New Roman" w:eastAsia="Times New Roman" w:hAnsi="Times New Roman"/>
          <w:color w:val="000000"/>
        </w:rPr>
      </w:pPr>
      <w:bookmarkStart w:colFirst="0" w:colLast="0" w:name="_heading=h.3fwokq0" w:id="40"/>
      <w:bookmarkEnd w:id="40"/>
      <w:r w:rsidDel="00000000" w:rsidR="00000000" w:rsidRPr="00000000">
        <w:rPr>
          <w:rFonts w:ascii="Times New Roman" w:cs="Times New Roman" w:eastAsia="Times New Roman" w:hAnsi="Times New Roman"/>
          <w:color w:val="000000"/>
          <w:rtl w:val="0"/>
        </w:rPr>
        <w:t xml:space="preserve">4.3. Ολοκληρωμένη και πολυτομεακή προσέγγιση της ψυχικής υγείας</w:t>
      </w:r>
    </w:p>
    <w:p w:rsidR="00000000" w:rsidDel="00000000" w:rsidP="00000000" w:rsidRDefault="00000000" w:rsidRPr="00000000" w14:paraId="0000023D">
      <w:pPr>
        <w:pStyle w:val="Heading2"/>
        <w:spacing w:after="120" w:lineRule="auto"/>
        <w:jc w:val="center"/>
        <w:rPr>
          <w:rFonts w:ascii="Times New Roman" w:cs="Times New Roman" w:eastAsia="Times New Roman" w:hAnsi="Times New Roman"/>
          <w:i w:val="1"/>
          <w:color w:val="000000"/>
          <w:sz w:val="24"/>
          <w:szCs w:val="24"/>
        </w:rPr>
      </w:pPr>
      <w:bookmarkStart w:colFirst="0" w:colLast="0" w:name="_heading=h.1v1yuxt" w:id="41"/>
      <w:bookmarkEnd w:id="41"/>
      <w:r w:rsidDel="00000000" w:rsidR="00000000" w:rsidRPr="00000000">
        <w:rPr>
          <w:rFonts w:ascii="Times New Roman" w:cs="Times New Roman" w:eastAsia="Times New Roman" w:hAnsi="Times New Roman"/>
          <w:i w:val="1"/>
          <w:color w:val="000000"/>
          <w:sz w:val="24"/>
          <w:szCs w:val="24"/>
          <w:rtl w:val="0"/>
        </w:rPr>
        <w:t xml:space="preserve">4.3.1. Πολυτομεακή προσέγγιση της ψυχικής υγείας</w:t>
      </w:r>
    </w:p>
    <w:p w:rsidR="00000000" w:rsidDel="00000000" w:rsidP="00000000" w:rsidRDefault="00000000" w:rsidRPr="00000000" w14:paraId="0000023E">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Οι διεθνείς στρατηγικές, αναγνωρίζουν τη σημασία όλων των τομέων, πέρα από το σύστημα υγείας, στο πλαίσιο της συνολικής πολιτικής για την ψυχικής υγεία.</w:t>
      </w:r>
      <w:r w:rsidDel="00000000" w:rsidR="00000000" w:rsidRPr="00000000">
        <w:rPr>
          <w:rFonts w:ascii="Times New Roman" w:cs="Times New Roman" w:eastAsia="Times New Roman" w:hAnsi="Times New Roman"/>
          <w:b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Οι χώρες μέλη του ΟΟΣΑ έχουν δεσμευτεί από το 2015, να αναγνωρίσουν τη σημασία μιας ολοκληρωμένης πολιτικής για την ψυχική υγεία και να λάβουν μέτρα για την ενίσχυσή της, τηρώντας τη Σύσταση του Συμβουλίου του ΟΟΣΑ (2015) για την «Ολοκληρωμένη Πολιτική Ψυχικής Υγείας, Δεξιοτήτων και Εργασίας». Το 2019, ο ΠΟΥ ζήτησε από τα κράτη μια πολυτομεακή δράση και προσέγγιση για τη θεραπεία της ψυχικής ασθένειας. Ο ΠΟΥ, προσέγγισε την κοινωνική πρόοδο με αντικειμενικούς δείκτες σωματικής και ψυχικής υγείας, ισότητας, υγείας και ευεξίας, συμπεριλαμβανομένων των συνθηκών στις οποίες γεννιούνται, ζουν και εργάζονται οι άνθρωποι (WHO Europe, 2019). Για την ανάπτυξη ενός συστήματος με υψηλή αποδοτικότητα, είναι σημαντικό οι κυβερνήσεις να προσεγγίζουν την ψυχική υγεία από μια διακυβερνητική προσέγγιση, με συντονισμό των στρατηγικών από τα διάφορα υπουργεία ή τους φορείς. </w:t>
      </w:r>
    </w:p>
    <w:p w:rsidR="00000000" w:rsidDel="00000000" w:rsidP="00000000" w:rsidRDefault="00000000" w:rsidRPr="00000000" w14:paraId="0000023F">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Αρκετές χώρες του ΟΟΣΑ, διαθέτουν στρατηγικές για την ψυχική υγεία που εφαρμόζονται από άλλα υπουργεία, εκτός από το υπουργείο Υγείας (Πίνακας 4.2). Λιγότερες χώρες, όπως είναι η Αυστρία, το Βέλγιο, η Ισλανδία, η Ιταλία, η Ιαπωνία, η Ολλανδία, η Νορβηγία, η Σλοβενία, η Ελβετία και η Τουρκία, έχουν άλλα υπουργεία, εκτός του Υπουργείου Υγείας, που διαθέτουν ειδικό προϋπολογισμό για την ψυχική υγεία. Σε χώρες με ομόσπονδα συστήματα υγείας ή όπου οι περιφέρειες και οι δήμοι έχουν ιδιαίτερη ευθύνη για την υγειονομική περίθαλψη ή την εκπαίδευση, οι διατομεακές συνεργασίες πραγματοποιούνται σε τοπικό επίπεδο. Για παράδειγμα, η Νορβηγία έχει αναπτύξει την Εθνική Στρατηγική Ψυχικής Υγείας με εννιά υπουργεία, το Υπουργείο Υγείας, Πολιτισμού, Παιδιών και Ισότητας, Εργασίας και Κοινωνικών Υποθέσεων, Παιδείας, Τοπικής Αυτοδιοίκησης και Εκσυγχρονισμού και Δικαιοσύνης. Η Νορβηγία έχει επίσης εφαρμόσει μια διακυβερνητική προσέγγιση ενώ αναπτύσσει πρόσθετες στρατηγικές ψυχικής υγείας. Στη χώρα μας, δεν υπάρχει ένα εθνικό πρόγραμμα ή στρατηγική ολοκληρωμένης προσέγγισης για την υγεία, ενώ κατά κύριο λόγο την ευθύνη της διαχείρισης της ψυχικής υγείας την έχει το Υπουργείο Υγείας. </w:t>
      </w:r>
    </w:p>
    <w:p w:rsidR="00000000" w:rsidDel="00000000" w:rsidP="00000000" w:rsidRDefault="00000000" w:rsidRPr="00000000" w14:paraId="00000240">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Πίνακας 4.2. </w:t>
      </w:r>
      <w:r w:rsidDel="00000000" w:rsidR="00000000" w:rsidRPr="00000000">
        <w:rPr>
          <w:rFonts w:ascii="Times New Roman" w:cs="Times New Roman" w:eastAsia="Times New Roman" w:hAnsi="Times New Roman"/>
          <w:sz w:val="24"/>
          <w:szCs w:val="24"/>
          <w:rtl w:val="0"/>
        </w:rPr>
        <w:t xml:space="preserve">Διατομεακή πολιτική για την ψυχική υγεία </w:t>
      </w:r>
    </w:p>
    <w:tbl>
      <w:tblPr>
        <w:tblStyle w:val="Table10"/>
        <w:tblW w:w="7585.999999999999"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451"/>
        <w:gridCol w:w="2568"/>
        <w:gridCol w:w="1855"/>
        <w:gridCol w:w="1712"/>
        <w:tblGridChange w:id="0">
          <w:tblGrid>
            <w:gridCol w:w="1451"/>
            <w:gridCol w:w="2568"/>
            <w:gridCol w:w="1855"/>
            <w:gridCol w:w="1712"/>
          </w:tblGrid>
        </w:tblGridChange>
      </w:tblGrid>
      <w:tr>
        <w:trPr>
          <w:cantSplit w:val="0"/>
          <w:tblHeader w:val="0"/>
        </w:trPr>
        <w:tc>
          <w:tcPr/>
          <w:p w:rsidR="00000000" w:rsidDel="00000000" w:rsidP="00000000" w:rsidRDefault="00000000" w:rsidRPr="00000000" w14:paraId="00000241">
            <w:pPr>
              <w:jc w:val="center"/>
              <w:rPr>
                <w:rFonts w:ascii="Times New Roman" w:cs="Times New Roman" w:eastAsia="Times New Roman" w:hAnsi="Times New Roman"/>
              </w:rPr>
            </w:pPr>
            <w:r w:rsidDel="00000000" w:rsidR="00000000" w:rsidRPr="00000000">
              <w:rPr>
                <w:rtl w:val="0"/>
              </w:rPr>
            </w:r>
          </w:p>
        </w:tc>
        <w:tc>
          <w:tcPr/>
          <w:p w:rsidR="00000000" w:rsidDel="00000000" w:rsidP="00000000" w:rsidRDefault="00000000" w:rsidRPr="00000000" w14:paraId="00000242">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Οποιαδήποτε εθνικά προγράμματα/στρατηγικές</w:t>
            </w:r>
          </w:p>
          <w:p w:rsidR="00000000" w:rsidDel="00000000" w:rsidP="00000000" w:rsidRDefault="00000000" w:rsidRPr="00000000" w14:paraId="00000243">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για την ανάπτυξη ολοκληρωμένων προσεγγίσεων για την ψυχική υγεία</w:t>
            </w:r>
          </w:p>
          <w:p w:rsidR="00000000" w:rsidDel="00000000" w:rsidP="00000000" w:rsidRDefault="00000000" w:rsidRPr="00000000" w14:paraId="00000244">
            <w:pPr>
              <w:jc w:val="center"/>
              <w:rPr>
                <w:rFonts w:ascii="Times New Roman" w:cs="Times New Roman" w:eastAsia="Times New Roman" w:hAnsi="Times New Roman"/>
              </w:rPr>
            </w:pPr>
            <w:r w:rsidDel="00000000" w:rsidR="00000000" w:rsidRPr="00000000">
              <w:rPr>
                <w:rtl w:val="0"/>
              </w:rPr>
            </w:r>
          </w:p>
        </w:tc>
        <w:tc>
          <w:tcPr/>
          <w:p w:rsidR="00000000" w:rsidDel="00000000" w:rsidP="00000000" w:rsidRDefault="00000000" w:rsidRPr="00000000" w14:paraId="00000245">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Υπουργεία που έχουν συγκεκριμένη</w:t>
            </w:r>
          </w:p>
          <w:p w:rsidR="00000000" w:rsidDel="00000000" w:rsidP="00000000" w:rsidRDefault="00000000" w:rsidRPr="00000000" w14:paraId="00000246">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στρατηγική για την ψυχική υγεία, σχέδιο ή πρόγραμμα</w:t>
            </w:r>
          </w:p>
          <w:p w:rsidR="00000000" w:rsidDel="00000000" w:rsidP="00000000" w:rsidRDefault="00000000" w:rsidRPr="00000000" w14:paraId="00000247">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εργασίας</w:t>
            </w:r>
          </w:p>
        </w:tc>
        <w:tc>
          <w:tcPr/>
          <w:p w:rsidR="00000000" w:rsidDel="00000000" w:rsidP="00000000" w:rsidRDefault="00000000" w:rsidRPr="00000000" w14:paraId="00000248">
            <w:pP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Υπουργεία που έχουν συγκεκριμένο προϋπολογισμό για την ψυχική υγεία</w:t>
            </w:r>
          </w:p>
        </w:tc>
      </w:tr>
      <w:tr>
        <w:trPr>
          <w:cantSplit w:val="0"/>
          <w:tblHeader w:val="0"/>
        </w:trPr>
        <w:tc>
          <w:tcPr/>
          <w:p w:rsidR="00000000" w:rsidDel="00000000" w:rsidP="00000000" w:rsidRDefault="00000000" w:rsidRPr="00000000" w14:paraId="00000249">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Αυστραλία</w:t>
            </w:r>
          </w:p>
        </w:tc>
        <w:tc>
          <w:tcPr/>
          <w:p w:rsidR="00000000" w:rsidDel="00000000" w:rsidP="00000000" w:rsidRDefault="00000000" w:rsidRPr="00000000" w14:paraId="0000024A">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Ναι</w:t>
            </w:r>
          </w:p>
        </w:tc>
        <w:tc>
          <w:tcPr/>
          <w:p w:rsidR="00000000" w:rsidDel="00000000" w:rsidP="00000000" w:rsidRDefault="00000000" w:rsidRPr="00000000" w14:paraId="0000024B">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Εκπαίδευσης, Απασχόλησης, Κοινωνικών Υποθέσεων,</w:t>
            </w:r>
          </w:p>
          <w:p w:rsidR="00000000" w:rsidDel="00000000" w:rsidP="00000000" w:rsidRDefault="00000000" w:rsidRPr="00000000" w14:paraId="0000024C">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Οικογένειας, Άλλα Υπουργεία</w:t>
            </w:r>
          </w:p>
        </w:tc>
        <w:tc>
          <w:tcPr/>
          <w:p w:rsidR="00000000" w:rsidDel="00000000" w:rsidP="00000000" w:rsidRDefault="00000000" w:rsidRPr="00000000" w14:paraId="0000024D">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Δεν προσδιορίζεται</w:t>
            </w:r>
          </w:p>
        </w:tc>
      </w:tr>
      <w:tr>
        <w:trPr>
          <w:cantSplit w:val="0"/>
          <w:tblHeader w:val="0"/>
        </w:trPr>
        <w:tc>
          <w:tcPr/>
          <w:p w:rsidR="00000000" w:rsidDel="00000000" w:rsidP="00000000" w:rsidRDefault="00000000" w:rsidRPr="00000000" w14:paraId="0000024E">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Αυστρία</w:t>
            </w:r>
          </w:p>
        </w:tc>
        <w:tc>
          <w:tcPr/>
          <w:p w:rsidR="00000000" w:rsidDel="00000000" w:rsidP="00000000" w:rsidRDefault="00000000" w:rsidRPr="00000000" w14:paraId="0000024F">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Ναι</w:t>
            </w:r>
          </w:p>
        </w:tc>
        <w:tc>
          <w:tcPr/>
          <w:p w:rsidR="00000000" w:rsidDel="00000000" w:rsidP="00000000" w:rsidRDefault="00000000" w:rsidRPr="00000000" w14:paraId="00000250">
            <w:pPr>
              <w:jc w:val="center"/>
              <w:rPr>
                <w:rFonts w:ascii="Times New Roman" w:cs="Times New Roman" w:eastAsia="Times New Roman" w:hAnsi="Times New Roman"/>
              </w:rPr>
            </w:pPr>
            <w:r w:rsidDel="00000000" w:rsidR="00000000" w:rsidRPr="00000000">
              <w:rPr>
                <w:rtl w:val="0"/>
              </w:rPr>
            </w:r>
          </w:p>
        </w:tc>
        <w:tc>
          <w:tcPr/>
          <w:p w:rsidR="00000000" w:rsidDel="00000000" w:rsidP="00000000" w:rsidRDefault="00000000" w:rsidRPr="00000000" w14:paraId="00000251">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Κοινωνικών Υποθέσεων</w:t>
            </w:r>
          </w:p>
        </w:tc>
      </w:tr>
      <w:tr>
        <w:trPr>
          <w:cantSplit w:val="0"/>
          <w:tblHeader w:val="0"/>
        </w:trPr>
        <w:tc>
          <w:tcPr/>
          <w:p w:rsidR="00000000" w:rsidDel="00000000" w:rsidP="00000000" w:rsidRDefault="00000000" w:rsidRPr="00000000" w14:paraId="00000252">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Βέλγιο</w:t>
            </w:r>
          </w:p>
        </w:tc>
        <w:tc>
          <w:tcPr/>
          <w:p w:rsidR="00000000" w:rsidDel="00000000" w:rsidP="00000000" w:rsidRDefault="00000000" w:rsidRPr="00000000" w14:paraId="00000253">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Ναι</w:t>
            </w:r>
          </w:p>
        </w:tc>
        <w:tc>
          <w:tcPr/>
          <w:p w:rsidR="00000000" w:rsidDel="00000000" w:rsidP="00000000" w:rsidRDefault="00000000" w:rsidRPr="00000000" w14:paraId="00000254">
            <w:pPr>
              <w:jc w:val="center"/>
              <w:rPr>
                <w:rFonts w:ascii="Times New Roman" w:cs="Times New Roman" w:eastAsia="Times New Roman" w:hAnsi="Times New Roman"/>
              </w:rPr>
            </w:pPr>
            <w:r w:rsidDel="00000000" w:rsidR="00000000" w:rsidRPr="00000000">
              <w:rPr>
                <w:rtl w:val="0"/>
              </w:rPr>
            </w:r>
          </w:p>
        </w:tc>
        <w:tc>
          <w:tcPr/>
          <w:p w:rsidR="00000000" w:rsidDel="00000000" w:rsidP="00000000" w:rsidRDefault="00000000" w:rsidRPr="00000000" w14:paraId="00000255">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Εργασίας, Κοινωνικών Υποθέσεων, Άλλα υπουργεία</w:t>
            </w:r>
          </w:p>
        </w:tc>
      </w:tr>
      <w:tr>
        <w:trPr>
          <w:cantSplit w:val="0"/>
          <w:tblHeader w:val="0"/>
        </w:trPr>
        <w:tc>
          <w:tcPr/>
          <w:p w:rsidR="00000000" w:rsidDel="00000000" w:rsidP="00000000" w:rsidRDefault="00000000" w:rsidRPr="00000000" w14:paraId="00000256">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Καναδάς</w:t>
            </w:r>
          </w:p>
        </w:tc>
        <w:tc>
          <w:tcPr/>
          <w:p w:rsidR="00000000" w:rsidDel="00000000" w:rsidP="00000000" w:rsidRDefault="00000000" w:rsidRPr="00000000" w14:paraId="00000257">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Όχι</w:t>
            </w:r>
          </w:p>
        </w:tc>
        <w:tc>
          <w:tcPr/>
          <w:p w:rsidR="00000000" w:rsidDel="00000000" w:rsidP="00000000" w:rsidRDefault="00000000" w:rsidRPr="00000000" w14:paraId="00000258">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Σωφρονιστική Υπηρεσία Καναδά;</w:t>
            </w:r>
          </w:p>
          <w:p w:rsidR="00000000" w:rsidDel="00000000" w:rsidP="00000000" w:rsidRDefault="00000000" w:rsidRPr="00000000" w14:paraId="00000259">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Σύνδεσμος Βετεράνων Καναδά; Εγχώριες υπηρεσίες Καναδά; άλλα</w:t>
            </w:r>
          </w:p>
          <w:p w:rsidR="00000000" w:rsidDel="00000000" w:rsidP="00000000" w:rsidRDefault="00000000" w:rsidRPr="00000000" w14:paraId="0000025A">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Ομοσπονδιακά Τμήματα.</w:t>
            </w:r>
          </w:p>
        </w:tc>
        <w:tc>
          <w:tcPr/>
          <w:p w:rsidR="00000000" w:rsidDel="00000000" w:rsidP="00000000" w:rsidRDefault="00000000" w:rsidRPr="00000000" w14:paraId="0000025B">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Δεν προσδιορίζεται</w:t>
            </w:r>
          </w:p>
        </w:tc>
      </w:tr>
      <w:tr>
        <w:trPr>
          <w:cantSplit w:val="0"/>
          <w:tblHeader w:val="0"/>
        </w:trPr>
        <w:tc>
          <w:tcPr/>
          <w:p w:rsidR="00000000" w:rsidDel="00000000" w:rsidP="00000000" w:rsidRDefault="00000000" w:rsidRPr="00000000" w14:paraId="0000025C">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Τσεχία</w:t>
            </w:r>
          </w:p>
        </w:tc>
        <w:tc>
          <w:tcPr/>
          <w:p w:rsidR="00000000" w:rsidDel="00000000" w:rsidP="00000000" w:rsidRDefault="00000000" w:rsidRPr="00000000" w14:paraId="0000025D">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Ναι</w:t>
            </w:r>
          </w:p>
        </w:tc>
        <w:tc>
          <w:tcPr/>
          <w:p w:rsidR="00000000" w:rsidDel="00000000" w:rsidP="00000000" w:rsidRDefault="00000000" w:rsidRPr="00000000" w14:paraId="0000025E">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Εκπαίδευσης, Κοινωνικών Υποθέσεων, Δικαιοσύνης, Άλλα υπουργεία</w:t>
            </w:r>
          </w:p>
        </w:tc>
        <w:tc>
          <w:tcPr/>
          <w:p w:rsidR="00000000" w:rsidDel="00000000" w:rsidP="00000000" w:rsidRDefault="00000000" w:rsidRPr="00000000" w14:paraId="0000025F">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Δεν προσδιορίζεται</w:t>
            </w:r>
          </w:p>
        </w:tc>
      </w:tr>
      <w:tr>
        <w:trPr>
          <w:cantSplit w:val="0"/>
          <w:tblHeader w:val="0"/>
        </w:trPr>
        <w:tc>
          <w:tcPr/>
          <w:p w:rsidR="00000000" w:rsidDel="00000000" w:rsidP="00000000" w:rsidRDefault="00000000" w:rsidRPr="00000000" w14:paraId="00000260">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Δανία</w:t>
            </w:r>
          </w:p>
        </w:tc>
        <w:tc>
          <w:tcPr/>
          <w:p w:rsidR="00000000" w:rsidDel="00000000" w:rsidP="00000000" w:rsidRDefault="00000000" w:rsidRPr="00000000" w14:paraId="00000261">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Ναι</w:t>
            </w:r>
          </w:p>
        </w:tc>
        <w:tc>
          <w:tcPr/>
          <w:p w:rsidR="00000000" w:rsidDel="00000000" w:rsidP="00000000" w:rsidRDefault="00000000" w:rsidRPr="00000000" w14:paraId="00000262">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Εκπαίδευσης, Κοινωνικών Υποθέσεων, Υγείας</w:t>
            </w:r>
          </w:p>
        </w:tc>
        <w:tc>
          <w:tcPr/>
          <w:p w:rsidR="00000000" w:rsidDel="00000000" w:rsidP="00000000" w:rsidRDefault="00000000" w:rsidRPr="00000000" w14:paraId="00000263">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Δεν προσδιορίζεται</w:t>
            </w:r>
          </w:p>
        </w:tc>
      </w:tr>
      <w:tr>
        <w:trPr>
          <w:cantSplit w:val="0"/>
          <w:tblHeader w:val="0"/>
        </w:trPr>
        <w:tc>
          <w:tcPr/>
          <w:p w:rsidR="00000000" w:rsidDel="00000000" w:rsidP="00000000" w:rsidRDefault="00000000" w:rsidRPr="00000000" w14:paraId="00000264">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Ηνωμένο Βασίλειο</w:t>
            </w:r>
          </w:p>
        </w:tc>
        <w:tc>
          <w:tcPr/>
          <w:p w:rsidR="00000000" w:rsidDel="00000000" w:rsidP="00000000" w:rsidRDefault="00000000" w:rsidRPr="00000000" w14:paraId="00000265">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Ναι</w:t>
            </w:r>
          </w:p>
        </w:tc>
        <w:tc>
          <w:tcPr/>
          <w:p w:rsidR="00000000" w:rsidDel="00000000" w:rsidP="00000000" w:rsidRDefault="00000000" w:rsidRPr="00000000" w14:paraId="00000266">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Οικονομίας, Εκπαίδευσης, Εργασίας, Δικαιοσύνης, Άλλα υπουργεία</w:t>
            </w:r>
          </w:p>
        </w:tc>
        <w:tc>
          <w:tcPr/>
          <w:p w:rsidR="00000000" w:rsidDel="00000000" w:rsidP="00000000" w:rsidRDefault="00000000" w:rsidRPr="00000000" w14:paraId="00000267">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Δεν προσδιορίζεται</w:t>
            </w:r>
          </w:p>
        </w:tc>
      </w:tr>
      <w:tr>
        <w:trPr>
          <w:cantSplit w:val="0"/>
          <w:tblHeader w:val="0"/>
        </w:trPr>
        <w:tc>
          <w:tcPr/>
          <w:p w:rsidR="00000000" w:rsidDel="00000000" w:rsidP="00000000" w:rsidRDefault="00000000" w:rsidRPr="00000000" w14:paraId="00000268">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Εσθονία</w:t>
            </w:r>
          </w:p>
        </w:tc>
        <w:tc>
          <w:tcPr/>
          <w:p w:rsidR="00000000" w:rsidDel="00000000" w:rsidP="00000000" w:rsidRDefault="00000000" w:rsidRPr="00000000" w14:paraId="00000269">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Δεν προσδιορίζεται</w:t>
            </w:r>
          </w:p>
        </w:tc>
        <w:tc>
          <w:tcPr/>
          <w:p w:rsidR="00000000" w:rsidDel="00000000" w:rsidP="00000000" w:rsidRDefault="00000000" w:rsidRPr="00000000" w14:paraId="0000026A">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Δεν προσδιορίζεται</w:t>
            </w:r>
          </w:p>
        </w:tc>
        <w:tc>
          <w:tcPr/>
          <w:p w:rsidR="00000000" w:rsidDel="00000000" w:rsidP="00000000" w:rsidRDefault="00000000" w:rsidRPr="00000000" w14:paraId="0000026B">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Δεν προσδιορίζεται</w:t>
            </w:r>
          </w:p>
        </w:tc>
      </w:tr>
      <w:tr>
        <w:trPr>
          <w:cantSplit w:val="0"/>
          <w:tblHeader w:val="0"/>
        </w:trPr>
        <w:tc>
          <w:tcPr/>
          <w:p w:rsidR="00000000" w:rsidDel="00000000" w:rsidP="00000000" w:rsidRDefault="00000000" w:rsidRPr="00000000" w14:paraId="0000026C">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Ελλάδα</w:t>
            </w:r>
          </w:p>
        </w:tc>
        <w:tc>
          <w:tcPr/>
          <w:p w:rsidR="00000000" w:rsidDel="00000000" w:rsidP="00000000" w:rsidRDefault="00000000" w:rsidRPr="00000000" w14:paraId="0000026D">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Δεν προσδιορίζεται</w:t>
            </w:r>
          </w:p>
        </w:tc>
        <w:tc>
          <w:tcPr/>
          <w:p w:rsidR="00000000" w:rsidDel="00000000" w:rsidP="00000000" w:rsidRDefault="00000000" w:rsidRPr="00000000" w14:paraId="0000026E">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Υγείας, Άλλα υπουργεία</w:t>
            </w:r>
          </w:p>
        </w:tc>
        <w:tc>
          <w:tcPr/>
          <w:p w:rsidR="00000000" w:rsidDel="00000000" w:rsidP="00000000" w:rsidRDefault="00000000" w:rsidRPr="00000000" w14:paraId="0000026F">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Άλλα υπουργεία</w:t>
            </w:r>
          </w:p>
        </w:tc>
      </w:tr>
      <w:tr>
        <w:trPr>
          <w:cantSplit w:val="0"/>
          <w:tblHeader w:val="0"/>
        </w:trPr>
        <w:tc>
          <w:tcPr/>
          <w:p w:rsidR="00000000" w:rsidDel="00000000" w:rsidP="00000000" w:rsidRDefault="00000000" w:rsidRPr="00000000" w14:paraId="00000270">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Ισραήλ</w:t>
            </w:r>
          </w:p>
        </w:tc>
        <w:tc>
          <w:tcPr/>
          <w:p w:rsidR="00000000" w:rsidDel="00000000" w:rsidP="00000000" w:rsidRDefault="00000000" w:rsidRPr="00000000" w14:paraId="00000271">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Όχι</w:t>
            </w:r>
          </w:p>
        </w:tc>
        <w:tc>
          <w:tcPr/>
          <w:p w:rsidR="00000000" w:rsidDel="00000000" w:rsidP="00000000" w:rsidRDefault="00000000" w:rsidRPr="00000000" w14:paraId="00000272">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Δεν προσδιορίζεται</w:t>
            </w:r>
          </w:p>
        </w:tc>
        <w:tc>
          <w:tcPr/>
          <w:p w:rsidR="00000000" w:rsidDel="00000000" w:rsidP="00000000" w:rsidRDefault="00000000" w:rsidRPr="00000000" w14:paraId="00000273">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Δεν προσδιορίζεται</w:t>
            </w:r>
          </w:p>
        </w:tc>
      </w:tr>
      <w:tr>
        <w:trPr>
          <w:cantSplit w:val="0"/>
          <w:tblHeader w:val="0"/>
        </w:trPr>
        <w:tc>
          <w:tcPr/>
          <w:p w:rsidR="00000000" w:rsidDel="00000000" w:rsidP="00000000" w:rsidRDefault="00000000" w:rsidRPr="00000000" w14:paraId="00000274">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Κορέα</w:t>
            </w:r>
          </w:p>
        </w:tc>
        <w:tc>
          <w:tcPr/>
          <w:p w:rsidR="00000000" w:rsidDel="00000000" w:rsidP="00000000" w:rsidRDefault="00000000" w:rsidRPr="00000000" w14:paraId="00000275">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Ναι</w:t>
            </w:r>
          </w:p>
        </w:tc>
        <w:tc>
          <w:tcPr/>
          <w:p w:rsidR="00000000" w:rsidDel="00000000" w:rsidP="00000000" w:rsidRDefault="00000000" w:rsidRPr="00000000" w14:paraId="00000276">
            <w:pPr>
              <w:jc w:val="center"/>
              <w:rPr>
                <w:rFonts w:ascii="Times New Roman" w:cs="Times New Roman" w:eastAsia="Times New Roman" w:hAnsi="Times New Roman"/>
              </w:rPr>
            </w:pPr>
            <w:r w:rsidDel="00000000" w:rsidR="00000000" w:rsidRPr="00000000">
              <w:rPr>
                <w:rtl w:val="0"/>
              </w:rPr>
            </w:r>
          </w:p>
        </w:tc>
        <w:tc>
          <w:tcPr/>
          <w:p w:rsidR="00000000" w:rsidDel="00000000" w:rsidP="00000000" w:rsidRDefault="00000000" w:rsidRPr="00000000" w14:paraId="00000277">
            <w:pPr>
              <w:jc w:val="center"/>
              <w:rPr>
                <w:rFonts w:ascii="Times New Roman" w:cs="Times New Roman" w:eastAsia="Times New Roman" w:hAnsi="Times New Roman"/>
              </w:rPr>
            </w:pPr>
            <w:r w:rsidDel="00000000" w:rsidR="00000000" w:rsidRPr="00000000">
              <w:rPr>
                <w:rtl w:val="0"/>
              </w:rPr>
            </w:r>
          </w:p>
        </w:tc>
      </w:tr>
      <w:tr>
        <w:trPr>
          <w:cantSplit w:val="0"/>
          <w:tblHeader w:val="0"/>
        </w:trPr>
        <w:tc>
          <w:tcPr/>
          <w:p w:rsidR="00000000" w:rsidDel="00000000" w:rsidP="00000000" w:rsidRDefault="00000000" w:rsidRPr="00000000" w14:paraId="00000278">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Λετονία</w:t>
            </w:r>
          </w:p>
        </w:tc>
        <w:tc>
          <w:tcPr/>
          <w:p w:rsidR="00000000" w:rsidDel="00000000" w:rsidP="00000000" w:rsidRDefault="00000000" w:rsidRPr="00000000" w14:paraId="00000279">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Ναι</w:t>
            </w:r>
          </w:p>
        </w:tc>
        <w:tc>
          <w:tcPr/>
          <w:p w:rsidR="00000000" w:rsidDel="00000000" w:rsidP="00000000" w:rsidRDefault="00000000" w:rsidRPr="00000000" w14:paraId="0000027A">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Άλλα υπουργεία</w:t>
            </w:r>
          </w:p>
        </w:tc>
        <w:tc>
          <w:tcPr/>
          <w:p w:rsidR="00000000" w:rsidDel="00000000" w:rsidP="00000000" w:rsidRDefault="00000000" w:rsidRPr="00000000" w14:paraId="0000027B">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Άλλα υπουργεία</w:t>
            </w:r>
          </w:p>
        </w:tc>
      </w:tr>
      <w:tr>
        <w:trPr>
          <w:cantSplit w:val="0"/>
          <w:tblHeader w:val="0"/>
        </w:trPr>
        <w:tc>
          <w:tcPr/>
          <w:p w:rsidR="00000000" w:rsidDel="00000000" w:rsidP="00000000" w:rsidRDefault="00000000" w:rsidRPr="00000000" w14:paraId="0000027C">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Μεξικό</w:t>
            </w:r>
          </w:p>
        </w:tc>
        <w:tc>
          <w:tcPr/>
          <w:p w:rsidR="00000000" w:rsidDel="00000000" w:rsidP="00000000" w:rsidRDefault="00000000" w:rsidRPr="00000000" w14:paraId="0000027D">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Όχι</w:t>
            </w:r>
          </w:p>
        </w:tc>
        <w:tc>
          <w:tcPr/>
          <w:p w:rsidR="00000000" w:rsidDel="00000000" w:rsidP="00000000" w:rsidRDefault="00000000" w:rsidRPr="00000000" w14:paraId="0000027E">
            <w:pPr>
              <w:jc w:val="center"/>
              <w:rPr>
                <w:rFonts w:ascii="Times New Roman" w:cs="Times New Roman" w:eastAsia="Times New Roman" w:hAnsi="Times New Roman"/>
              </w:rPr>
            </w:pPr>
            <w:r w:rsidDel="00000000" w:rsidR="00000000" w:rsidRPr="00000000">
              <w:rPr>
                <w:rtl w:val="0"/>
              </w:rPr>
            </w:r>
          </w:p>
        </w:tc>
        <w:tc>
          <w:tcPr/>
          <w:p w:rsidR="00000000" w:rsidDel="00000000" w:rsidP="00000000" w:rsidRDefault="00000000" w:rsidRPr="00000000" w14:paraId="0000027F">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Άλλα υπουργεία</w:t>
            </w:r>
          </w:p>
        </w:tc>
      </w:tr>
      <w:tr>
        <w:trPr>
          <w:cantSplit w:val="0"/>
          <w:tblHeader w:val="0"/>
        </w:trPr>
        <w:tc>
          <w:tcPr/>
          <w:p w:rsidR="00000000" w:rsidDel="00000000" w:rsidP="00000000" w:rsidRDefault="00000000" w:rsidRPr="00000000" w14:paraId="00000280">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Νορβηγία</w:t>
            </w:r>
          </w:p>
        </w:tc>
        <w:tc>
          <w:tcPr/>
          <w:p w:rsidR="00000000" w:rsidDel="00000000" w:rsidP="00000000" w:rsidRDefault="00000000" w:rsidRPr="00000000" w14:paraId="00000281">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Ναι</w:t>
            </w:r>
          </w:p>
        </w:tc>
        <w:tc>
          <w:tcPr/>
          <w:p w:rsidR="00000000" w:rsidDel="00000000" w:rsidP="00000000" w:rsidRDefault="00000000" w:rsidRPr="00000000" w14:paraId="00000282">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Εκπαίδευσης, Απασχόλησης, Κοινωνικών Υποθέσεων,</w:t>
            </w:r>
          </w:p>
          <w:p w:rsidR="00000000" w:rsidDel="00000000" w:rsidP="00000000" w:rsidRDefault="00000000" w:rsidRPr="00000000" w14:paraId="00000283">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Δικαιοσύνης, Άλλα Υπουργεία,</w:t>
            </w:r>
          </w:p>
          <w:p w:rsidR="00000000" w:rsidDel="00000000" w:rsidP="00000000" w:rsidRDefault="00000000" w:rsidRPr="00000000" w14:paraId="00000284">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Τοπική Αυτοδιοίκηση και</w:t>
            </w:r>
          </w:p>
          <w:p w:rsidR="00000000" w:rsidDel="00000000" w:rsidP="00000000" w:rsidRDefault="00000000" w:rsidRPr="00000000" w14:paraId="00000285">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Εκσυγχρονισμός,</w:t>
            </w:r>
          </w:p>
          <w:p w:rsidR="00000000" w:rsidDel="00000000" w:rsidP="00000000" w:rsidRDefault="00000000" w:rsidRPr="00000000" w14:paraId="00000286">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Πολιτισμού, Γεωργίας και Τροφίμων</w:t>
            </w:r>
          </w:p>
        </w:tc>
        <w:tc>
          <w:tcPr/>
          <w:p w:rsidR="00000000" w:rsidDel="00000000" w:rsidP="00000000" w:rsidRDefault="00000000" w:rsidRPr="00000000" w14:paraId="00000287">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Εκπαίδευσης, Απασχόλησης, Κοινωνικών Υποθέσεων, Οικογένειας</w:t>
            </w:r>
          </w:p>
        </w:tc>
      </w:tr>
    </w:tbl>
    <w:p w:rsidR="00000000" w:rsidDel="00000000" w:rsidP="00000000" w:rsidRDefault="00000000" w:rsidRPr="00000000" w14:paraId="00000288">
      <w:pPr>
        <w:spacing w:after="12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Πηγή:</w:t>
      </w:r>
      <w:r w:rsidDel="00000000" w:rsidR="00000000" w:rsidRPr="00000000">
        <w:rPr>
          <w:rFonts w:ascii="Times New Roman" w:cs="Times New Roman" w:eastAsia="Times New Roman" w:hAnsi="Times New Roman"/>
          <w:sz w:val="20"/>
          <w:szCs w:val="20"/>
          <w:rtl w:val="0"/>
        </w:rPr>
        <w:t xml:space="preserve"> OECD (2021), A New Benchmark for Mental Health Systems (ιδία επεξεργασία).</w:t>
      </w:r>
    </w:p>
    <w:p w:rsidR="00000000" w:rsidDel="00000000" w:rsidP="00000000" w:rsidRDefault="00000000" w:rsidRPr="00000000" w14:paraId="00000289">
      <w:pPr>
        <w:pStyle w:val="Heading2"/>
        <w:spacing w:after="120" w:lineRule="auto"/>
        <w:jc w:val="center"/>
        <w:rPr>
          <w:rFonts w:ascii="Times New Roman" w:cs="Times New Roman" w:eastAsia="Times New Roman" w:hAnsi="Times New Roman"/>
          <w:i w:val="1"/>
          <w:color w:val="000000"/>
          <w:sz w:val="24"/>
          <w:szCs w:val="24"/>
        </w:rPr>
      </w:pPr>
      <w:bookmarkStart w:colFirst="0" w:colLast="0" w:name="_heading=h.4f1mdlm" w:id="42"/>
      <w:bookmarkEnd w:id="42"/>
      <w:r w:rsidDel="00000000" w:rsidR="00000000" w:rsidRPr="00000000">
        <w:rPr>
          <w:rFonts w:ascii="Times New Roman" w:cs="Times New Roman" w:eastAsia="Times New Roman" w:hAnsi="Times New Roman"/>
          <w:i w:val="1"/>
          <w:color w:val="000000"/>
          <w:sz w:val="24"/>
          <w:szCs w:val="24"/>
          <w:rtl w:val="0"/>
        </w:rPr>
        <w:t xml:space="preserve">4.3.2. Διασφάλιση σωματικών αναγκών </w:t>
      </w:r>
    </w:p>
    <w:p w:rsidR="00000000" w:rsidDel="00000000" w:rsidP="00000000" w:rsidRDefault="00000000" w:rsidRPr="00000000" w14:paraId="0000028A">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Δεδομένου του υψηλού ποσοστού συννοσηρότητας μεταξύ των προβλημάτων ψυχικής υγείας και σωματικής υγείας, η ολοκληρωμένη παροχή υπηρεσιών είναι καίριας σημασίας. Στο πλαίσιο της ολοκληρωμένης παροχής υπηρεσιών, θα πρέπει να συμπεριλαμβάνεται η  προαγωγής της υγείας για άτομα με ψυχολογικές παθήσεις, καθώς και έλεγχος για προβλήματα σωματικής υγείας. </w:t>
      </w:r>
    </w:p>
    <w:p w:rsidR="00000000" w:rsidDel="00000000" w:rsidP="00000000" w:rsidRDefault="00000000" w:rsidRPr="00000000" w14:paraId="0000028B">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Για να βελτιωθεί η φροντίδα της ψυχικής υγείας και σωματικής υγείας και κατά συνέπεια τα αποτελέσματα υγείας για άτομα με ψυχολογικά προβλήματα, οι περισσότερες χώρες προσπαθούν όλο και περισσότερο να υιοθετήσουν μια διεπιστημονική προσέγγιση (Πίνακας 4.2). Για παράδειγμα, το Ισραήλ έχει πραγματοποιήσει περιοδικές μελέτες για τη σωματική υγεία των ατόμων με ψυχική ασθένεια, ενώ εξετάζει τους αριθμούς θνησιμότητας στους ψυχιατρικούς ασθενείς. Επί του παρόντος, βρίσκεται στη διαδικασία διασύνδεσης των δεδομένων των ασθενών με ψυχιατρική νοσηλεία με τα δεδομένα από τις γενικές νοσηλείες, με αποτέλεσμα μια ολοκληρωμένη προσέγγιση (OECD, 2021) Στη Δανία, έχει αναπτυχθεί ένα εργαλείο που προορίζεται να χρησιμοποιηθεί από στεγαστικές δομές για τα άτομα με ψυχικές ασθένειες, ώστε να προληφθούν οι σωματικές παθήσεις. Το εργαλείο αυτό, μπορεί επίσης να χρησιμοποιηθεί ως οδηγός για το προσωπικό όσον αφορά τη συζήτηση με τους ασθενείς σχετικά με τα σωματικά συμπτώματα, τη γενική σωματική υγεία και τις συνήθειες όπως είναι το κάπνισμα, η άσκηση, η κατάχρηση ουσιών και άλλες επιβλαβείς συμπεριφορές. Μόνο δύο χώρες του ΟΟΣΑ, η Κορέα και το Ηνωμένο Βασίλειο αναφέρουν ότι συλλέγουν συστηματικά πληροφορίες σχετικά με σωματική υγεία των ατόμων με ψυχικά προβλήματα, όπως είναι οι έλεγχοι χοληστερόλης, οι μετρήσεις ΔΜΣ, η κατάσταση καπνίσματος και οι γενικοί έλεγχοι σωματικής υγείας. Στην Ελλάδα, ο έλεγχος και η προώθηση της σωματικής υγείας των ασθενών, εξαρτάται κατά κύριο λόγο από το πλαίσιο, χωρίς να υπάρχει κάποια επίσημη πολιτική. </w:t>
      </w:r>
    </w:p>
    <w:p w:rsidR="00000000" w:rsidDel="00000000" w:rsidP="00000000" w:rsidRDefault="00000000" w:rsidRPr="00000000" w14:paraId="0000028C">
      <w:pPr>
        <w:spacing w:line="276"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Πίνακας 4.3. </w:t>
      </w:r>
      <w:r w:rsidDel="00000000" w:rsidR="00000000" w:rsidRPr="00000000">
        <w:rPr>
          <w:rFonts w:ascii="Times New Roman" w:cs="Times New Roman" w:eastAsia="Times New Roman" w:hAnsi="Times New Roman"/>
          <w:sz w:val="24"/>
          <w:szCs w:val="24"/>
          <w:rtl w:val="0"/>
        </w:rPr>
        <w:t xml:space="preserve">Παραδείγματα πολιτικών για τη διασφάλιση της σωματικής υγείας</w:t>
      </w:r>
      <w:r w:rsidDel="00000000" w:rsidR="00000000" w:rsidRPr="00000000">
        <w:rPr>
          <w:rtl w:val="0"/>
        </w:rPr>
      </w:r>
    </w:p>
    <w:tbl>
      <w:tblPr>
        <w:tblStyle w:val="Table11"/>
        <w:tblW w:w="7586.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793"/>
        <w:gridCol w:w="3793"/>
        <w:tblGridChange w:id="0">
          <w:tblGrid>
            <w:gridCol w:w="3793"/>
            <w:gridCol w:w="3793"/>
          </w:tblGrid>
        </w:tblGridChange>
      </w:tblGrid>
      <w:tr>
        <w:trPr>
          <w:cantSplit w:val="0"/>
          <w:tblHeader w:val="0"/>
        </w:trPr>
        <w:tc>
          <w:tcPr>
            <w:gridSpan w:val="2"/>
          </w:tcPr>
          <w:p w:rsidR="00000000" w:rsidDel="00000000" w:rsidP="00000000" w:rsidRDefault="00000000" w:rsidRPr="00000000" w14:paraId="0000028D">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Χώρες και παραδείγματα πολιτικών</w:t>
            </w:r>
          </w:p>
        </w:tc>
      </w:tr>
      <w:tr>
        <w:trPr>
          <w:cantSplit w:val="0"/>
          <w:tblHeader w:val="0"/>
        </w:trPr>
        <w:tc>
          <w:tcPr/>
          <w:p w:rsidR="00000000" w:rsidDel="00000000" w:rsidP="00000000" w:rsidRDefault="00000000" w:rsidRPr="00000000" w14:paraId="0000028F">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Ύπαρξη στοχευμένων πρακτικών</w:t>
            </w:r>
          </w:p>
        </w:tc>
        <w:tc>
          <w:tcPr/>
          <w:p w:rsidR="00000000" w:rsidDel="00000000" w:rsidP="00000000" w:rsidRDefault="00000000" w:rsidRPr="00000000" w14:paraId="00000290">
            <w:pPr>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Αγγλία, Ιρλανδία:</w:t>
            </w:r>
            <w:r w:rsidDel="00000000" w:rsidR="00000000" w:rsidRPr="00000000">
              <w:rPr>
                <w:rFonts w:ascii="Times New Roman" w:cs="Times New Roman" w:eastAsia="Times New Roman" w:hAnsi="Times New Roman"/>
                <w:rtl w:val="0"/>
              </w:rPr>
              <w:t xml:space="preserve"> Υποχρεωτικό έλεγχος για προβλήματα σωματικής υγείας για τα άτομα με ψυχικές παθήσεις.</w:t>
            </w:r>
          </w:p>
          <w:p w:rsidR="00000000" w:rsidDel="00000000" w:rsidP="00000000" w:rsidRDefault="00000000" w:rsidRPr="00000000" w14:paraId="00000291">
            <w:pPr>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Νορβηγία:</w:t>
            </w:r>
            <w:r w:rsidDel="00000000" w:rsidR="00000000" w:rsidRPr="00000000">
              <w:rPr>
                <w:rFonts w:ascii="Times New Roman" w:cs="Times New Roman" w:eastAsia="Times New Roman" w:hAnsi="Times New Roman"/>
                <w:rtl w:val="0"/>
              </w:rPr>
              <w:t xml:space="preserve"> Παραπομπή ασθενών με προβλήματα ψυχικής υγείας ή κατάχρησης ουσιών για σωματικές εξετάσεις.</w:t>
            </w:r>
          </w:p>
        </w:tc>
      </w:tr>
      <w:tr>
        <w:trPr>
          <w:cantSplit w:val="0"/>
          <w:tblHeader w:val="0"/>
        </w:trPr>
        <w:tc>
          <w:tcPr/>
          <w:p w:rsidR="00000000" w:rsidDel="00000000" w:rsidP="00000000" w:rsidRDefault="00000000" w:rsidRPr="00000000" w14:paraId="00000292">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Ύπαρξη στοχευμένων πρακτικών, αλλά όχι πάντα</w:t>
            </w:r>
          </w:p>
        </w:tc>
        <w:tc>
          <w:tcPr/>
          <w:p w:rsidR="00000000" w:rsidDel="00000000" w:rsidP="00000000" w:rsidRDefault="00000000" w:rsidRPr="00000000" w14:paraId="00000293">
            <w:pPr>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Αυστραλία, Πορτογαλία</w:t>
            </w:r>
            <w:r w:rsidDel="00000000" w:rsidR="00000000" w:rsidRPr="00000000">
              <w:rPr>
                <w:rFonts w:ascii="Times New Roman" w:cs="Times New Roman" w:eastAsia="Times New Roman" w:hAnsi="Times New Roman"/>
                <w:rtl w:val="0"/>
              </w:rPr>
              <w:t xml:space="preserve">: Οι γενικοί ιατροί είναι υπεύθυνοι για την υποστήριξη της σωματικής φροντίδας των ασθενών με ψυχικά προβλήματα.</w:t>
            </w:r>
          </w:p>
          <w:p w:rsidR="00000000" w:rsidDel="00000000" w:rsidP="00000000" w:rsidRDefault="00000000" w:rsidRPr="00000000" w14:paraId="00000294">
            <w:pPr>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Αυστραλία</w:t>
            </w:r>
            <w:r w:rsidDel="00000000" w:rsidR="00000000" w:rsidRPr="00000000">
              <w:rPr>
                <w:rFonts w:ascii="Times New Roman" w:cs="Times New Roman" w:eastAsia="Times New Roman" w:hAnsi="Times New Roman"/>
                <w:rtl w:val="0"/>
              </w:rPr>
              <w:t xml:space="preserve">: Οι κοινοτικοί νοσοκόμοι είναι υπεύθυνοι για την υποστήριξη της σωματικής φροντίδας των ασθενών με ψυχικά προβλήματα.</w:t>
            </w:r>
          </w:p>
          <w:p w:rsidR="00000000" w:rsidDel="00000000" w:rsidP="00000000" w:rsidRDefault="00000000" w:rsidRPr="00000000" w14:paraId="00000295">
            <w:pPr>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Τσεχία, Κορέα, Ολλανδία, Τουρκία: </w:t>
            </w:r>
            <w:r w:rsidDel="00000000" w:rsidR="00000000" w:rsidRPr="00000000">
              <w:rPr>
                <w:rFonts w:ascii="Times New Roman" w:cs="Times New Roman" w:eastAsia="Times New Roman" w:hAnsi="Times New Roman"/>
                <w:rtl w:val="0"/>
              </w:rPr>
              <w:t xml:space="preserve">Ο σωματικός έλεγχος απαιτείται από τις κλινικές οδηγίες, με προτεραιότητα στις διαδικασίες πρόληψης, έγκαιρης διάγνωσης και θεραπείας.</w:t>
            </w:r>
          </w:p>
        </w:tc>
      </w:tr>
      <w:tr>
        <w:trPr>
          <w:cantSplit w:val="0"/>
          <w:tblHeader w:val="0"/>
        </w:trPr>
        <w:tc>
          <w:tcPr/>
          <w:p w:rsidR="00000000" w:rsidDel="00000000" w:rsidP="00000000" w:rsidRDefault="00000000" w:rsidRPr="00000000" w14:paraId="00000296">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Ύπαρξη στοχευμένων πρακτικών που εξαρτώνται από το πλαίσιο φροντίδας</w:t>
            </w:r>
          </w:p>
        </w:tc>
        <w:tc>
          <w:tcPr/>
          <w:p w:rsidR="00000000" w:rsidDel="00000000" w:rsidP="00000000" w:rsidRDefault="00000000" w:rsidRPr="00000000" w14:paraId="00000297">
            <w:pPr>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Αυστρία, Ιαπωνία, Πορτογαλία</w:t>
            </w:r>
            <w:r w:rsidDel="00000000" w:rsidR="00000000" w:rsidRPr="00000000">
              <w:rPr>
                <w:rFonts w:ascii="Times New Roman" w:cs="Times New Roman" w:eastAsia="Times New Roman" w:hAnsi="Times New Roman"/>
                <w:rtl w:val="0"/>
              </w:rPr>
              <w:t xml:space="preserve">: Υπηρεσίες υποστήριξης/δια σύνδεσης σε περιβάλλοντα νοσηλείας: (πλήρης ιατρική παρακολούθηση κατά την εισαγωγή στο νοσοκομείο).</w:t>
            </w:r>
          </w:p>
          <w:p w:rsidR="00000000" w:rsidDel="00000000" w:rsidP="00000000" w:rsidRDefault="00000000" w:rsidRPr="00000000" w14:paraId="00000298">
            <w:pPr>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Καναδάς:</w:t>
            </w:r>
            <w:r w:rsidDel="00000000" w:rsidR="00000000" w:rsidRPr="00000000">
              <w:rPr>
                <w:rFonts w:ascii="Times New Roman" w:cs="Times New Roman" w:eastAsia="Times New Roman" w:hAnsi="Times New Roman"/>
                <w:rtl w:val="0"/>
              </w:rPr>
              <w:t xml:space="preserve"> O έλεγχος της σωματικής υγείας, συμπεριλαμβάνεται στα ατομικά σχέδια φροντίδας.</w:t>
            </w:r>
          </w:p>
          <w:p w:rsidR="00000000" w:rsidDel="00000000" w:rsidP="00000000" w:rsidRDefault="00000000" w:rsidRPr="00000000" w14:paraId="00000299">
            <w:pPr>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Δανία:</w:t>
            </w:r>
            <w:r w:rsidDel="00000000" w:rsidR="00000000" w:rsidRPr="00000000">
              <w:rPr>
                <w:rFonts w:ascii="Times New Roman" w:cs="Times New Roman" w:eastAsia="Times New Roman" w:hAnsi="Times New Roman"/>
                <w:rtl w:val="0"/>
              </w:rPr>
              <w:t xml:space="preserve"> Ειδικός οδηγός για την πρόληψη των σωματικών ασθενειών στα άτομα με ψυχικά προβλήματα. έλεγχος: Ισλανδία</w:t>
            </w:r>
          </w:p>
          <w:p w:rsidR="00000000" w:rsidDel="00000000" w:rsidP="00000000" w:rsidRDefault="00000000" w:rsidRPr="00000000" w14:paraId="0000029A">
            <w:pPr>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Βέλγιο, Εσθονία, Ελλάδα, Ισλανδία, Ιταλία, Νορβηγία, Σλοβενία: </w:t>
            </w:r>
            <w:r w:rsidDel="00000000" w:rsidR="00000000" w:rsidRPr="00000000">
              <w:rPr>
                <w:rFonts w:ascii="Times New Roman" w:cs="Times New Roman" w:eastAsia="Times New Roman" w:hAnsi="Times New Roman"/>
                <w:rtl w:val="0"/>
              </w:rPr>
              <w:t xml:space="preserve">Η παρακολούθηση της σωματικής υγείας εξαρτάται από το πλαίσιο φροντίδας.</w:t>
            </w:r>
          </w:p>
        </w:tc>
      </w:tr>
      <w:tr>
        <w:trPr>
          <w:cantSplit w:val="0"/>
          <w:tblHeader w:val="0"/>
        </w:trPr>
        <w:tc>
          <w:tcPr/>
          <w:p w:rsidR="00000000" w:rsidDel="00000000" w:rsidP="00000000" w:rsidRDefault="00000000" w:rsidRPr="00000000" w14:paraId="0000029B">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Απουσία στοχευμένων πρακτικών</w:t>
            </w:r>
          </w:p>
        </w:tc>
        <w:tc>
          <w:tcPr/>
          <w:p w:rsidR="00000000" w:rsidDel="00000000" w:rsidP="00000000" w:rsidRDefault="00000000" w:rsidRPr="00000000" w14:paraId="0000029C">
            <w:pP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Λιθουανία, Μεξικό, Ελβετία</w:t>
            </w:r>
          </w:p>
        </w:tc>
      </w:tr>
    </w:tbl>
    <w:p w:rsidR="00000000" w:rsidDel="00000000" w:rsidP="00000000" w:rsidRDefault="00000000" w:rsidRPr="00000000" w14:paraId="0000029D">
      <w:pPr>
        <w:spacing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Πηγή:</w:t>
      </w:r>
      <w:r w:rsidDel="00000000" w:rsidR="00000000" w:rsidRPr="00000000">
        <w:rPr>
          <w:rFonts w:ascii="Times New Roman" w:cs="Times New Roman" w:eastAsia="Times New Roman" w:hAnsi="Times New Roman"/>
          <w:sz w:val="20"/>
          <w:szCs w:val="20"/>
          <w:rtl w:val="0"/>
        </w:rPr>
        <w:t xml:space="preserve"> OECD (2021), A New Benchmark for Mental Health Systems (ιδία επεξεργασία).</w:t>
      </w:r>
    </w:p>
    <w:p w:rsidR="00000000" w:rsidDel="00000000" w:rsidP="00000000" w:rsidRDefault="00000000" w:rsidRPr="00000000" w14:paraId="0000029E">
      <w:pPr>
        <w:pStyle w:val="Heading2"/>
        <w:spacing w:after="120" w:lineRule="auto"/>
        <w:jc w:val="center"/>
        <w:rPr>
          <w:rFonts w:ascii="Times New Roman" w:cs="Times New Roman" w:eastAsia="Times New Roman" w:hAnsi="Times New Roman"/>
          <w:i w:val="1"/>
          <w:color w:val="000000"/>
          <w:sz w:val="24"/>
          <w:szCs w:val="24"/>
        </w:rPr>
      </w:pPr>
      <w:bookmarkStart w:colFirst="0" w:colLast="0" w:name="_heading=h.2u6wntf" w:id="43"/>
      <w:bookmarkEnd w:id="43"/>
      <w:r w:rsidDel="00000000" w:rsidR="00000000" w:rsidRPr="00000000">
        <w:rPr>
          <w:rFonts w:ascii="Times New Roman" w:cs="Times New Roman" w:eastAsia="Times New Roman" w:hAnsi="Times New Roman"/>
          <w:i w:val="1"/>
          <w:color w:val="000000"/>
          <w:sz w:val="24"/>
          <w:szCs w:val="24"/>
          <w:rtl w:val="0"/>
        </w:rPr>
        <w:t xml:space="preserve">4.3.3.Επιπτώσεις στην εκπαίδευση και στην απασχόληση</w:t>
      </w:r>
    </w:p>
    <w:p w:rsidR="00000000" w:rsidDel="00000000" w:rsidP="00000000" w:rsidRDefault="00000000" w:rsidRPr="00000000" w14:paraId="0000029F">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Κατά μέσο όρο στις χώρες του ΟΟΣΑ, το ποσοστό απασχόλησης για τα άτομα με κάποια ψυχική πάθηση, ήταν 20% μικρότερο από ό,τι για τα άτομα χωρίς κάποια πάθηση (Γράφημα 4.7). Το ποσοστό αυτό, αυξάνεται στο 30% σε χώρες όπως είναι η Ουγγαρία, η Νορβηγία και το Ηνωμένο Βασίλειο, ενώ η χώρα μας βρίσκεται κάτω από τον μέσο όρο του ΟΟΣΑ.</w:t>
      </w:r>
    </w:p>
    <w:p w:rsidR="00000000" w:rsidDel="00000000" w:rsidP="00000000" w:rsidRDefault="00000000" w:rsidRPr="00000000" w14:paraId="000002A0">
      <w:pPr>
        <w:spacing w:line="276"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Γράφημα 4.7. </w:t>
      </w:r>
      <w:r w:rsidDel="00000000" w:rsidR="00000000" w:rsidRPr="00000000">
        <w:rPr>
          <w:rFonts w:ascii="Times New Roman" w:cs="Times New Roman" w:eastAsia="Times New Roman" w:hAnsi="Times New Roman"/>
          <w:sz w:val="24"/>
          <w:szCs w:val="24"/>
          <w:rtl w:val="0"/>
        </w:rPr>
        <w:t xml:space="preserve">Χάσμα απασχόλησης μεταξύ των ατόμων με και χωρίς πρόβλημα ψυχικής υγείας (έτη 2012-2016)</w:t>
      </w:r>
      <w:r w:rsidDel="00000000" w:rsidR="00000000" w:rsidRPr="00000000">
        <w:rPr>
          <w:rtl w:val="0"/>
        </w:rPr>
      </w:r>
    </w:p>
    <w:p w:rsidR="00000000" w:rsidDel="00000000" w:rsidP="00000000" w:rsidRDefault="00000000" w:rsidRPr="00000000" w14:paraId="000002A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0" distT="0" distL="0" distR="0">
            <wp:extent cx="4679950" cy="4981575"/>
            <wp:docPr id="47" name=""/>
            <a:graphic>
              <a:graphicData uri="http://schemas.openxmlformats.org/drawingml/2006/chart">
                <c:chart r:id="rId23"/>
              </a:graphicData>
            </a:graphic>
          </wp:inline>
        </w:drawing>
      </w:r>
      <w:r w:rsidDel="00000000" w:rsidR="00000000" w:rsidRPr="00000000">
        <w:rPr>
          <w:rtl w:val="0"/>
        </w:rPr>
      </w:r>
    </w:p>
    <w:p w:rsidR="00000000" w:rsidDel="00000000" w:rsidP="00000000" w:rsidRDefault="00000000" w:rsidRPr="00000000" w14:paraId="000002A2">
      <w:pPr>
        <w:spacing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Σημείωση:</w:t>
      </w:r>
      <w:r w:rsidDel="00000000" w:rsidR="00000000" w:rsidRPr="00000000">
        <w:rPr>
          <w:rFonts w:ascii="Times New Roman" w:cs="Times New Roman" w:eastAsia="Times New Roman" w:hAnsi="Times New Roman"/>
          <w:sz w:val="20"/>
          <w:szCs w:val="20"/>
          <w:rtl w:val="0"/>
        </w:rPr>
        <w:t xml:space="preserve"> Η τιμή 100 δείχνει ότι τα άτομα με ψυχικές παθήσεις είναι εξίσου πιθανό να εργάζονται με τα άτομα χωρίς προβλήματα ψυχικής υγείας.</w:t>
      </w:r>
    </w:p>
    <w:p w:rsidR="00000000" w:rsidDel="00000000" w:rsidP="00000000" w:rsidRDefault="00000000" w:rsidRPr="00000000" w14:paraId="000002A3">
      <w:pPr>
        <w:spacing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Πηγή:</w:t>
      </w:r>
      <w:r w:rsidDel="00000000" w:rsidR="00000000" w:rsidRPr="00000000">
        <w:rPr>
          <w:rFonts w:ascii="Times New Roman" w:cs="Times New Roman" w:eastAsia="Times New Roman" w:hAnsi="Times New Roman"/>
          <w:sz w:val="20"/>
          <w:szCs w:val="20"/>
          <w:rtl w:val="0"/>
        </w:rPr>
        <w:t xml:space="preserve"> OECD (2021), A New Benchmark for Mental Health Systems (ιδία επεξεργασία).</w:t>
      </w:r>
    </w:p>
    <w:p w:rsidR="00000000" w:rsidDel="00000000" w:rsidP="00000000" w:rsidRDefault="00000000" w:rsidRPr="00000000" w14:paraId="000002A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A5">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Παρόμοια είναι και η επίδραση στην εκπαίδευση, καθώς τα άτομα με ψυχικές παθήσεις είναι λιγότερο πιθανό να ολοκληρώσουν υψηλότερες βαθμίδες εκπαίδευσης</w:t>
      </w:r>
      <w:r w:rsidDel="00000000" w:rsidR="00000000" w:rsidRPr="00000000">
        <w:rPr>
          <w:rtl w:val="0"/>
        </w:rPr>
        <w:t xml:space="preserve"> (</w:t>
      </w:r>
      <w:r w:rsidDel="00000000" w:rsidR="00000000" w:rsidRPr="00000000">
        <w:rPr>
          <w:rFonts w:ascii="Times New Roman" w:cs="Times New Roman" w:eastAsia="Times New Roman" w:hAnsi="Times New Roman"/>
          <w:sz w:val="24"/>
          <w:szCs w:val="24"/>
          <w:rtl w:val="0"/>
        </w:rPr>
        <w:t xml:space="preserve">Γράφημα 4.8). </w:t>
      </w:r>
    </w:p>
    <w:p w:rsidR="00000000" w:rsidDel="00000000" w:rsidP="00000000" w:rsidRDefault="00000000" w:rsidRPr="00000000" w14:paraId="000002A6">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Γράφημα 4.8.</w:t>
      </w:r>
      <w:r w:rsidDel="00000000" w:rsidR="00000000" w:rsidRPr="00000000">
        <w:rPr>
          <w:rFonts w:ascii="Times New Roman" w:cs="Times New Roman" w:eastAsia="Times New Roman" w:hAnsi="Times New Roman"/>
          <w:sz w:val="24"/>
          <w:szCs w:val="24"/>
          <w:rtl w:val="0"/>
        </w:rPr>
        <w:t xml:space="preserve"> Ολοκλήρωση υψηλότερου εκπαιδευτικού επιπέδου (έτη 2012-2016)</w:t>
      </w:r>
    </w:p>
    <w:p w:rsidR="00000000" w:rsidDel="00000000" w:rsidP="00000000" w:rsidRDefault="00000000" w:rsidRPr="00000000" w14:paraId="000002A7">
      <w:pPr>
        <w:spacing w:after="120" w:line="24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Pr>
        <w:drawing>
          <wp:inline distB="0" distT="0" distL="0" distR="0">
            <wp:extent cx="4679950" cy="5410200"/>
            <wp:docPr id="48" name=""/>
            <a:graphic>
              <a:graphicData uri="http://schemas.openxmlformats.org/drawingml/2006/chart">
                <c:chart r:id="rId24"/>
              </a:graphicData>
            </a:graphic>
          </wp:inline>
        </w:drawing>
      </w:r>
      <w:r w:rsidDel="00000000" w:rsidR="00000000" w:rsidRPr="00000000">
        <w:rPr>
          <w:rFonts w:ascii="Times New Roman" w:cs="Times New Roman" w:eastAsia="Times New Roman" w:hAnsi="Times New Roman"/>
          <w:b w:val="1"/>
          <w:sz w:val="20"/>
          <w:szCs w:val="20"/>
          <w:rtl w:val="0"/>
        </w:rPr>
        <w:t xml:space="preserve">Πηγή:</w:t>
      </w:r>
      <w:r w:rsidDel="00000000" w:rsidR="00000000" w:rsidRPr="00000000">
        <w:rPr>
          <w:rFonts w:ascii="Times New Roman" w:cs="Times New Roman" w:eastAsia="Times New Roman" w:hAnsi="Times New Roman"/>
          <w:sz w:val="20"/>
          <w:szCs w:val="20"/>
          <w:rtl w:val="0"/>
        </w:rPr>
        <w:t xml:space="preserve"> OECD (2021), A New Benchmark for Mental Health Systems (ιδία επεξεργασία).</w:t>
      </w:r>
      <w:r w:rsidDel="00000000" w:rsidR="00000000" w:rsidRPr="00000000">
        <w:rPr>
          <w:rtl w:val="0"/>
        </w:rPr>
      </w:r>
    </w:p>
    <w:p w:rsidR="00000000" w:rsidDel="00000000" w:rsidP="00000000" w:rsidRDefault="00000000" w:rsidRPr="00000000" w14:paraId="000002A8">
      <w:pPr>
        <w:ind w:firstLine="72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4"/>
          <w:szCs w:val="24"/>
          <w:rtl w:val="0"/>
        </w:rPr>
        <w:t xml:space="preserve">Η χώρα μας, βρίσκεται σε αυτή την περίπτωση κάτω από το μέσο όρο του ΟΟΣΑ. Σε όλες τις χώρες, τα άτομα με προβλήματα ψυχικής υγείας είναι λιγότερο πιθανό να ολοκληρώσουν την τριτοβάθμια εκπαίδευση, με ιδιαίτερα σημαντικά κενά στον Καναδά, στις Ηνωμένες Πολιτείες, στο Ηνωμένο Βασίλειο, στο Βέλγιο, στο Λουξεμβούργο και στην Ισλανδία (Γράφημα 4.8).</w:t>
      </w:r>
      <w:r w:rsidDel="00000000" w:rsidR="00000000" w:rsidRPr="00000000">
        <w:rPr>
          <w:rtl w:val="0"/>
        </w:rPr>
      </w:r>
    </w:p>
    <w:p w:rsidR="00000000" w:rsidDel="00000000" w:rsidP="00000000" w:rsidRDefault="00000000" w:rsidRPr="00000000" w14:paraId="000002A9">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Κατά μέσο όρο στον ΟΟΣΑ, οι μαθητές με προβλήματα ψυχικής υγείας έχουν 35% περισσότερες πιθανότητες να επαναλάβουν μια σχολική τάξη (OECD, 2021). Υπάρχει ωστόσο σημαντική διαφοροποίηση ανάμεσα στις διάφορες χώρες. Στη Σλοβενία, στην Πορτογαλία, στην Πολωνία και στην Κολομβία, αυτή η ομάδα μαθητών είναι λιγότερο πιθανό να έχει επαναλάβει μια τάξη, ενώ στο Ηνωμένο Βασίλειο δεν υπάρχει διαφορά μεταξύ των δύο ομάδων. Από την άλλη πλευρά, οι μαθητές με προβλήματα ψυχικής υγείας στην Ελλάδα, στην Εσθονία, στη Δανία και στην Ισλανδία, έχουν όλοι τουλάχιστον 75% περισσότερες πιθανότητες να έχουν επαναλάβει μια τάξη. </w:t>
      </w:r>
    </w:p>
    <w:p w:rsidR="00000000" w:rsidDel="00000000" w:rsidP="00000000" w:rsidRDefault="00000000" w:rsidRPr="00000000" w14:paraId="000002AA">
      <w:pPr>
        <w:pStyle w:val="Heading2"/>
        <w:spacing w:after="120" w:lineRule="auto"/>
        <w:jc w:val="center"/>
        <w:rPr>
          <w:rFonts w:ascii="Times New Roman" w:cs="Times New Roman" w:eastAsia="Times New Roman" w:hAnsi="Times New Roman"/>
          <w:i w:val="1"/>
          <w:color w:val="000000"/>
          <w:sz w:val="24"/>
          <w:szCs w:val="24"/>
        </w:rPr>
      </w:pPr>
      <w:bookmarkStart w:colFirst="0" w:colLast="0" w:name="_heading=h.19c6y18" w:id="44"/>
      <w:bookmarkEnd w:id="44"/>
      <w:r w:rsidDel="00000000" w:rsidR="00000000" w:rsidRPr="00000000">
        <w:rPr>
          <w:rFonts w:ascii="Times New Roman" w:cs="Times New Roman" w:eastAsia="Times New Roman" w:hAnsi="Times New Roman"/>
          <w:i w:val="1"/>
          <w:color w:val="000000"/>
          <w:sz w:val="24"/>
          <w:szCs w:val="24"/>
          <w:rtl w:val="0"/>
        </w:rPr>
        <w:t xml:space="preserve">4.3.4. Πολιτικές για την επιστροφή στην εργασία </w:t>
      </w:r>
    </w:p>
    <w:p w:rsidR="00000000" w:rsidDel="00000000" w:rsidP="00000000" w:rsidRDefault="00000000" w:rsidRPr="00000000" w14:paraId="000002AB">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Υπάρχουν διάφορα καλά παραδείγματα πρωτοβουλιών για την ενοποίηση των υπηρεσιών ψυχικής υγείας και της εργασίας, σε διάφορες χώρες του ΟΟΣΑ και σε διάφορους τομείς. Σε κάποιες χώρες, έχουν εισαχθεί ορισμένες μεταρρυθμίσεις, για να διασφαλιστεί ότι τα συστήματα κοινωνικής προστασίας και οι υπηρεσίες ψυχικής υγείας προάγουν την ανάρρωση και ενθαρρύνουν την επιστροφή στην εργασία ή στο σχολείο (OECD, 2021). Τα μέτρα, κυμαίνονται από την πρόληψη της απουσίας από την εργασία, την προώθηση της ταχείας επιστροφής στην εργασία, την παροχή ταυτόχρονης ή ολοκληρωμένης υποστήριξης ψυχικής υγείας και απασχόλησης σε άτομα που αναζητούν εργασία ή σε μακροχρόνια ανέργους και την ανάπτυξη κατάλληλων θέσεων εργασίας για άτομα με σοβαρά προβλήματα ψυχικής υγείας που απαιτούν προσαρμοσμένα περιβάλλοντα εργασίας και /ή καθήκοντα (OECD, 2012; 2015; 2021). Σε ορισμένες χώρες, οι μεταρρυθμίσεις στη νομοθεσία για τις κοινωνικές παροχές και τις υπηρεσίες απασχόλησης, συμβάλλουν στην ενθάρρυνση και στην παροχή κινήτρων στους αναζητούντες εργασία με προβλήματα ψυχικής υγείας για να επιστρέψουν στην εργασία.</w:t>
      </w:r>
    </w:p>
    <w:p w:rsidR="00000000" w:rsidDel="00000000" w:rsidP="00000000" w:rsidRDefault="00000000" w:rsidRPr="00000000" w14:paraId="000002A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Πίνακας 4.4. </w:t>
      </w:r>
      <w:r w:rsidDel="00000000" w:rsidR="00000000" w:rsidRPr="00000000">
        <w:rPr>
          <w:rFonts w:ascii="Times New Roman" w:cs="Times New Roman" w:eastAsia="Times New Roman" w:hAnsi="Times New Roman"/>
          <w:sz w:val="24"/>
          <w:szCs w:val="24"/>
          <w:rtl w:val="0"/>
        </w:rPr>
        <w:t xml:space="preserve">Ένταξη υπηρεσιών ψυχικής υγείας και απασχόλησης</w:t>
      </w:r>
    </w:p>
    <w:tbl>
      <w:tblPr>
        <w:tblStyle w:val="Table12"/>
        <w:tblW w:w="7585.999999999999"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896"/>
        <w:gridCol w:w="1896"/>
        <w:gridCol w:w="1897"/>
        <w:gridCol w:w="1897"/>
        <w:tblGridChange w:id="0">
          <w:tblGrid>
            <w:gridCol w:w="1896"/>
            <w:gridCol w:w="1896"/>
            <w:gridCol w:w="1897"/>
            <w:gridCol w:w="1897"/>
          </w:tblGrid>
        </w:tblGridChange>
      </w:tblGrid>
      <w:tr>
        <w:trPr>
          <w:cantSplit w:val="0"/>
          <w:tblHeader w:val="0"/>
        </w:trPr>
        <w:tc>
          <w:tcPr/>
          <w:p w:rsidR="00000000" w:rsidDel="00000000" w:rsidP="00000000" w:rsidRDefault="00000000" w:rsidRPr="00000000" w14:paraId="000002AD">
            <w:pPr>
              <w:rPr>
                <w:rFonts w:ascii="Times New Roman" w:cs="Times New Roman" w:eastAsia="Times New Roman" w:hAnsi="Times New Roman"/>
                <w:b w:val="1"/>
                <w:sz w:val="20"/>
                <w:szCs w:val="20"/>
              </w:rPr>
            </w:pPr>
            <w:r w:rsidDel="00000000" w:rsidR="00000000" w:rsidRPr="00000000">
              <w:rPr>
                <w:rtl w:val="0"/>
              </w:rPr>
            </w:r>
          </w:p>
        </w:tc>
        <w:tc>
          <w:tcPr/>
          <w:p w:rsidR="00000000" w:rsidDel="00000000" w:rsidP="00000000" w:rsidRDefault="00000000" w:rsidRPr="00000000" w14:paraId="000002AE">
            <w:pP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Τα αποτελέσματα των υπηρεσιών ψυχικής υγείας</w:t>
            </w:r>
          </w:p>
          <w:p w:rsidR="00000000" w:rsidDel="00000000" w:rsidP="00000000" w:rsidRDefault="00000000" w:rsidRPr="00000000" w14:paraId="000002AF">
            <w:pP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περιλαμβάνουν την απασχόληση</w:t>
            </w:r>
          </w:p>
          <w:p w:rsidR="00000000" w:rsidDel="00000000" w:rsidP="00000000" w:rsidRDefault="00000000" w:rsidRPr="00000000" w14:paraId="000002B0">
            <w:pPr>
              <w:rPr>
                <w:rFonts w:ascii="Times New Roman" w:cs="Times New Roman" w:eastAsia="Times New Roman" w:hAnsi="Times New Roman"/>
                <w:sz w:val="20"/>
                <w:szCs w:val="20"/>
              </w:rPr>
            </w:pPr>
            <w:r w:rsidDel="00000000" w:rsidR="00000000" w:rsidRPr="00000000">
              <w:rPr>
                <w:rtl w:val="0"/>
              </w:rPr>
            </w:r>
          </w:p>
        </w:tc>
        <w:tc>
          <w:tcPr/>
          <w:p w:rsidR="00000000" w:rsidDel="00000000" w:rsidP="00000000" w:rsidRDefault="00000000" w:rsidRPr="00000000" w14:paraId="000002B1">
            <w:pP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Πρωτοβουλίες που αφορούν στην απασχόληση/</w:t>
            </w:r>
          </w:p>
          <w:p w:rsidR="00000000" w:rsidDel="00000000" w:rsidP="00000000" w:rsidRDefault="00000000" w:rsidRPr="00000000" w14:paraId="000002B2">
            <w:pP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Υποστήριξη των ληπτών υπηρεσιών ψυχικής υγείας</w:t>
            </w:r>
          </w:p>
        </w:tc>
        <w:tc>
          <w:tcPr/>
          <w:p w:rsidR="00000000" w:rsidDel="00000000" w:rsidP="00000000" w:rsidRDefault="00000000" w:rsidRPr="00000000" w14:paraId="000002B3">
            <w:pP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Ψυχολογική υποστήριξη διαθέσιμη στα</w:t>
            </w:r>
          </w:p>
          <w:p w:rsidR="00000000" w:rsidDel="00000000" w:rsidP="00000000" w:rsidRDefault="00000000" w:rsidRPr="00000000" w14:paraId="000002B4">
            <w:pP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Άνεργα άτομα</w:t>
            </w:r>
          </w:p>
        </w:tc>
      </w:tr>
      <w:tr>
        <w:trPr>
          <w:cantSplit w:val="0"/>
          <w:tblHeader w:val="0"/>
        </w:trPr>
        <w:tc>
          <w:tcPr/>
          <w:p w:rsidR="00000000" w:rsidDel="00000000" w:rsidP="00000000" w:rsidRDefault="00000000" w:rsidRPr="00000000" w14:paraId="000002B5">
            <w:pP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Αυστραλία</w:t>
            </w:r>
          </w:p>
        </w:tc>
        <w:tc>
          <w:tcPr/>
          <w:p w:rsidR="00000000" w:rsidDel="00000000" w:rsidP="00000000" w:rsidRDefault="00000000" w:rsidRPr="00000000" w14:paraId="000002B6">
            <w:pPr>
              <w:rPr>
                <w:rFonts w:ascii="Times New Roman" w:cs="Times New Roman" w:eastAsia="Times New Roman" w:hAnsi="Times New Roman"/>
                <w:sz w:val="20"/>
                <w:szCs w:val="20"/>
              </w:rPr>
            </w:pPr>
            <w:r w:rsidDel="00000000" w:rsidR="00000000" w:rsidRPr="00000000">
              <w:rPr>
                <w:rtl w:val="0"/>
              </w:rPr>
            </w:r>
          </w:p>
        </w:tc>
        <w:tc>
          <w:tcPr/>
          <w:p w:rsidR="00000000" w:rsidDel="00000000" w:rsidP="00000000" w:rsidRDefault="00000000" w:rsidRPr="00000000" w14:paraId="000002B7">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Ναι</w:t>
            </w:r>
          </w:p>
        </w:tc>
        <w:tc>
          <w:tcPr/>
          <w:p w:rsidR="00000000" w:rsidDel="00000000" w:rsidP="00000000" w:rsidRDefault="00000000" w:rsidRPr="00000000" w14:paraId="000002B8">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Ναι</w:t>
            </w:r>
          </w:p>
        </w:tc>
      </w:tr>
      <w:tr>
        <w:trPr>
          <w:cantSplit w:val="0"/>
          <w:tblHeader w:val="0"/>
        </w:trPr>
        <w:tc>
          <w:tcPr/>
          <w:p w:rsidR="00000000" w:rsidDel="00000000" w:rsidP="00000000" w:rsidRDefault="00000000" w:rsidRPr="00000000" w14:paraId="000002B9">
            <w:pP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Αυστρία</w:t>
            </w:r>
          </w:p>
        </w:tc>
        <w:tc>
          <w:tcPr/>
          <w:p w:rsidR="00000000" w:rsidDel="00000000" w:rsidP="00000000" w:rsidRDefault="00000000" w:rsidRPr="00000000" w14:paraId="000002BA">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Εξαρτάται από το πλαίσιο φροντίδας &amp; την περιοχή</w:t>
            </w:r>
          </w:p>
        </w:tc>
        <w:tc>
          <w:tcPr/>
          <w:p w:rsidR="00000000" w:rsidDel="00000000" w:rsidP="00000000" w:rsidRDefault="00000000" w:rsidRPr="00000000" w14:paraId="000002BB">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Ναι</w:t>
            </w:r>
          </w:p>
        </w:tc>
        <w:tc>
          <w:tcPr/>
          <w:p w:rsidR="00000000" w:rsidDel="00000000" w:rsidP="00000000" w:rsidRDefault="00000000" w:rsidRPr="00000000" w14:paraId="000002BC">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Ναι, συστηματικά διαθέσιμη</w:t>
            </w:r>
          </w:p>
        </w:tc>
      </w:tr>
      <w:tr>
        <w:trPr>
          <w:cantSplit w:val="0"/>
          <w:tblHeader w:val="0"/>
        </w:trPr>
        <w:tc>
          <w:tcPr/>
          <w:p w:rsidR="00000000" w:rsidDel="00000000" w:rsidP="00000000" w:rsidRDefault="00000000" w:rsidRPr="00000000" w14:paraId="000002BD">
            <w:pP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Καναδάς</w:t>
            </w:r>
          </w:p>
        </w:tc>
        <w:tc>
          <w:tcPr/>
          <w:p w:rsidR="00000000" w:rsidDel="00000000" w:rsidP="00000000" w:rsidRDefault="00000000" w:rsidRPr="00000000" w14:paraId="000002BE">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Εξαρτάται από το πλαίσιο φροντίδας</w:t>
            </w:r>
          </w:p>
        </w:tc>
        <w:tc>
          <w:tcPr/>
          <w:p w:rsidR="00000000" w:rsidDel="00000000" w:rsidP="00000000" w:rsidRDefault="00000000" w:rsidRPr="00000000" w14:paraId="000002BF">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Εξαρτάται από την περιοχή</w:t>
            </w:r>
          </w:p>
        </w:tc>
        <w:tc>
          <w:tcPr/>
          <w:p w:rsidR="00000000" w:rsidDel="00000000" w:rsidP="00000000" w:rsidRDefault="00000000" w:rsidRPr="00000000" w14:paraId="000002C0">
            <w:pPr>
              <w:rPr>
                <w:rFonts w:ascii="Times New Roman" w:cs="Times New Roman" w:eastAsia="Times New Roman" w:hAnsi="Times New Roman"/>
                <w:sz w:val="20"/>
                <w:szCs w:val="20"/>
              </w:rPr>
            </w:pPr>
            <w:r w:rsidDel="00000000" w:rsidR="00000000" w:rsidRPr="00000000">
              <w:rPr>
                <w:rtl w:val="0"/>
              </w:rPr>
            </w:r>
          </w:p>
        </w:tc>
      </w:tr>
      <w:tr>
        <w:trPr>
          <w:cantSplit w:val="0"/>
          <w:tblHeader w:val="0"/>
        </w:trPr>
        <w:tc>
          <w:tcPr/>
          <w:p w:rsidR="00000000" w:rsidDel="00000000" w:rsidP="00000000" w:rsidRDefault="00000000" w:rsidRPr="00000000" w14:paraId="000002C1">
            <w:pP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Τσεχία</w:t>
            </w:r>
          </w:p>
        </w:tc>
        <w:tc>
          <w:tcPr/>
          <w:p w:rsidR="00000000" w:rsidDel="00000000" w:rsidP="00000000" w:rsidRDefault="00000000" w:rsidRPr="00000000" w14:paraId="000002C2">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Εξαρτάται από το πλαίσιο φροντίδας</w:t>
            </w:r>
          </w:p>
        </w:tc>
        <w:tc>
          <w:tcPr/>
          <w:p w:rsidR="00000000" w:rsidDel="00000000" w:rsidP="00000000" w:rsidRDefault="00000000" w:rsidRPr="00000000" w14:paraId="000002C3">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Ναι</w:t>
            </w:r>
          </w:p>
        </w:tc>
        <w:tc>
          <w:tcPr/>
          <w:p w:rsidR="00000000" w:rsidDel="00000000" w:rsidP="00000000" w:rsidRDefault="00000000" w:rsidRPr="00000000" w14:paraId="000002C4">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Ναι, κάποια πιλοτικά προγράμματα</w:t>
            </w:r>
          </w:p>
        </w:tc>
      </w:tr>
      <w:tr>
        <w:trPr>
          <w:cantSplit w:val="0"/>
          <w:tblHeader w:val="0"/>
        </w:trPr>
        <w:tc>
          <w:tcPr/>
          <w:p w:rsidR="00000000" w:rsidDel="00000000" w:rsidP="00000000" w:rsidRDefault="00000000" w:rsidRPr="00000000" w14:paraId="000002C5">
            <w:pP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Δανία</w:t>
            </w:r>
          </w:p>
        </w:tc>
        <w:tc>
          <w:tcPr/>
          <w:p w:rsidR="00000000" w:rsidDel="00000000" w:rsidP="00000000" w:rsidRDefault="00000000" w:rsidRPr="00000000" w14:paraId="000002C6">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Ναι</w:t>
            </w:r>
          </w:p>
        </w:tc>
        <w:tc>
          <w:tcPr/>
          <w:p w:rsidR="00000000" w:rsidDel="00000000" w:rsidP="00000000" w:rsidRDefault="00000000" w:rsidRPr="00000000" w14:paraId="000002C7">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Ναι</w:t>
            </w:r>
          </w:p>
        </w:tc>
        <w:tc>
          <w:tcPr/>
          <w:p w:rsidR="00000000" w:rsidDel="00000000" w:rsidP="00000000" w:rsidRDefault="00000000" w:rsidRPr="00000000" w14:paraId="000002C8">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Ναι, συστηματικά διαθέσιμη</w:t>
            </w:r>
          </w:p>
        </w:tc>
      </w:tr>
      <w:tr>
        <w:trPr>
          <w:cantSplit w:val="0"/>
          <w:tblHeader w:val="0"/>
        </w:trPr>
        <w:tc>
          <w:tcPr/>
          <w:p w:rsidR="00000000" w:rsidDel="00000000" w:rsidP="00000000" w:rsidRDefault="00000000" w:rsidRPr="00000000" w14:paraId="000002C9">
            <w:pP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Ελλάδα</w:t>
            </w:r>
          </w:p>
        </w:tc>
        <w:tc>
          <w:tcPr/>
          <w:p w:rsidR="00000000" w:rsidDel="00000000" w:rsidP="00000000" w:rsidRDefault="00000000" w:rsidRPr="00000000" w14:paraId="000002CA">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Εξαρτάται από το πλαίσιο φροντίδας</w:t>
            </w:r>
          </w:p>
        </w:tc>
        <w:tc>
          <w:tcPr/>
          <w:p w:rsidR="00000000" w:rsidDel="00000000" w:rsidP="00000000" w:rsidRDefault="00000000" w:rsidRPr="00000000" w14:paraId="000002CB">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Ναι, αλλά δεν υφίσταται πάντα</w:t>
            </w:r>
          </w:p>
        </w:tc>
        <w:tc>
          <w:tcPr/>
          <w:p w:rsidR="00000000" w:rsidDel="00000000" w:rsidP="00000000" w:rsidRDefault="00000000" w:rsidRPr="00000000" w14:paraId="000002CC">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Όχι</w:t>
            </w:r>
          </w:p>
        </w:tc>
      </w:tr>
      <w:tr>
        <w:trPr>
          <w:cantSplit w:val="0"/>
          <w:tblHeader w:val="0"/>
        </w:trPr>
        <w:tc>
          <w:tcPr/>
          <w:p w:rsidR="00000000" w:rsidDel="00000000" w:rsidP="00000000" w:rsidRDefault="00000000" w:rsidRPr="00000000" w14:paraId="000002CD">
            <w:pP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Κορέα</w:t>
            </w:r>
          </w:p>
        </w:tc>
        <w:tc>
          <w:tcPr/>
          <w:p w:rsidR="00000000" w:rsidDel="00000000" w:rsidP="00000000" w:rsidRDefault="00000000" w:rsidRPr="00000000" w14:paraId="000002CE">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Ναι</w:t>
            </w:r>
          </w:p>
        </w:tc>
        <w:tc>
          <w:tcPr/>
          <w:p w:rsidR="00000000" w:rsidDel="00000000" w:rsidP="00000000" w:rsidRDefault="00000000" w:rsidRPr="00000000" w14:paraId="000002CF">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Ναι</w:t>
            </w:r>
          </w:p>
        </w:tc>
        <w:tc>
          <w:tcPr/>
          <w:p w:rsidR="00000000" w:rsidDel="00000000" w:rsidP="00000000" w:rsidRDefault="00000000" w:rsidRPr="00000000" w14:paraId="000002D0">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Ναι, παρέχεται κάποιες φορές</w:t>
            </w:r>
          </w:p>
        </w:tc>
      </w:tr>
      <w:tr>
        <w:trPr>
          <w:cantSplit w:val="0"/>
          <w:tblHeader w:val="0"/>
        </w:trPr>
        <w:tc>
          <w:tcPr/>
          <w:p w:rsidR="00000000" w:rsidDel="00000000" w:rsidP="00000000" w:rsidRDefault="00000000" w:rsidRPr="00000000" w14:paraId="000002D1">
            <w:pP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Νορβηγία</w:t>
            </w:r>
          </w:p>
        </w:tc>
        <w:tc>
          <w:tcPr/>
          <w:p w:rsidR="00000000" w:rsidDel="00000000" w:rsidP="00000000" w:rsidRDefault="00000000" w:rsidRPr="00000000" w14:paraId="000002D2">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Εξαρτάται από το πλαίσιο φροντίδας</w:t>
            </w:r>
          </w:p>
        </w:tc>
        <w:tc>
          <w:tcPr/>
          <w:p w:rsidR="00000000" w:rsidDel="00000000" w:rsidP="00000000" w:rsidRDefault="00000000" w:rsidRPr="00000000" w14:paraId="000002D3">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Ναι</w:t>
            </w:r>
          </w:p>
        </w:tc>
        <w:tc>
          <w:tcPr/>
          <w:p w:rsidR="00000000" w:rsidDel="00000000" w:rsidP="00000000" w:rsidRDefault="00000000" w:rsidRPr="00000000" w14:paraId="000002D4">
            <w:pPr>
              <w:rPr>
                <w:rFonts w:ascii="Times New Roman" w:cs="Times New Roman" w:eastAsia="Times New Roman" w:hAnsi="Times New Roman"/>
                <w:sz w:val="20"/>
                <w:szCs w:val="20"/>
              </w:rPr>
            </w:pPr>
            <w:r w:rsidDel="00000000" w:rsidR="00000000" w:rsidRPr="00000000">
              <w:rPr>
                <w:rtl w:val="0"/>
              </w:rPr>
            </w:r>
          </w:p>
        </w:tc>
      </w:tr>
      <w:tr>
        <w:trPr>
          <w:cantSplit w:val="0"/>
          <w:tblHeader w:val="0"/>
        </w:trPr>
        <w:tc>
          <w:tcPr/>
          <w:p w:rsidR="00000000" w:rsidDel="00000000" w:rsidP="00000000" w:rsidRDefault="00000000" w:rsidRPr="00000000" w14:paraId="000002D5">
            <w:pP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Ηνωμένο Βασίλειο</w:t>
            </w:r>
          </w:p>
        </w:tc>
        <w:tc>
          <w:tcPr/>
          <w:p w:rsidR="00000000" w:rsidDel="00000000" w:rsidP="00000000" w:rsidRDefault="00000000" w:rsidRPr="00000000" w14:paraId="000002D6">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Ναι</w:t>
            </w:r>
          </w:p>
        </w:tc>
        <w:tc>
          <w:tcPr/>
          <w:p w:rsidR="00000000" w:rsidDel="00000000" w:rsidP="00000000" w:rsidRDefault="00000000" w:rsidRPr="00000000" w14:paraId="000002D7">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Εξαρτάται από την περιοχή</w:t>
            </w:r>
          </w:p>
        </w:tc>
        <w:tc>
          <w:tcPr/>
          <w:p w:rsidR="00000000" w:rsidDel="00000000" w:rsidP="00000000" w:rsidRDefault="00000000" w:rsidRPr="00000000" w14:paraId="000002D8">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Ναι, συστηματικά διαθέσιμη</w:t>
            </w:r>
          </w:p>
        </w:tc>
      </w:tr>
    </w:tbl>
    <w:p w:rsidR="00000000" w:rsidDel="00000000" w:rsidP="00000000" w:rsidRDefault="00000000" w:rsidRPr="00000000" w14:paraId="000002D9">
      <w:pPr>
        <w:spacing w:after="12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Πηγή:</w:t>
      </w:r>
      <w:r w:rsidDel="00000000" w:rsidR="00000000" w:rsidRPr="00000000">
        <w:rPr>
          <w:rFonts w:ascii="Times New Roman" w:cs="Times New Roman" w:eastAsia="Times New Roman" w:hAnsi="Times New Roman"/>
          <w:sz w:val="20"/>
          <w:szCs w:val="20"/>
          <w:rtl w:val="0"/>
        </w:rPr>
        <w:t xml:space="preserve"> OECD (2021), A New Benchmark for Mental Health Systems (ιδία επεξεργασία).</w:t>
      </w:r>
    </w:p>
    <w:p w:rsidR="00000000" w:rsidDel="00000000" w:rsidP="00000000" w:rsidRDefault="00000000" w:rsidRPr="00000000" w14:paraId="000002DA">
      <w:pPr>
        <w:ind w:firstLine="72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Οι πρωτοβουλίες που σχετίζονται με τις υπηρεσίες διασύνδεσης μεταξύ των υπηρεσιών ανεργίας και την υποστήριξη της ψυχικής υγείας είναι συχνότερες (OECD, 2021). Η Δανία ξεχωρίζει ως μια χώρα με ισχυρή ενοποίηση των υπηρεσιών ψυχικής υγείας και απασχόλησης, με μια σειρά από πρωτοβουλίες για τη γεφύρωση των υπηρεσιών ψυχικής υγείας και απασχόλησης και την ενίσχυση της πρόσβασης στο εργατικό δυναμικό για άτομα με σωματικά και ψυχικά προβλήματα. Εξάλλου, αποτελεί έναν από τους οκτώ εθνικούς στόχους ποιότητας της υγειονομικής περίθαλψης. Στη χώρα μας, δεν υπάρχει μια οργανωμένη πρωτοβουλία για την υποστήριξη των ατόμων με προβλήματα ψυχικής υγείας σχετικά με την απασχόληση. Η εύρεση εργασίας, δεν αποτελεί επίσης στόχο  για τον ασθενή, εκτός από συγκεκριμένα πλαίσια φροντίδας. </w:t>
      </w:r>
      <w:r w:rsidDel="00000000" w:rsidR="00000000" w:rsidRPr="00000000">
        <w:rPr>
          <w:rtl w:val="0"/>
        </w:rPr>
      </w:r>
    </w:p>
    <w:p w:rsidR="00000000" w:rsidDel="00000000" w:rsidP="00000000" w:rsidRDefault="00000000" w:rsidRPr="00000000" w14:paraId="000002DB">
      <w:pPr>
        <w:pStyle w:val="Heading1"/>
        <w:jc w:val="center"/>
        <w:rPr>
          <w:rFonts w:ascii="Times New Roman" w:cs="Times New Roman" w:eastAsia="Times New Roman" w:hAnsi="Times New Roman"/>
          <w:color w:val="000000"/>
        </w:rPr>
      </w:pPr>
      <w:bookmarkStart w:colFirst="0" w:colLast="0" w:name="_heading=h.3tbugp1" w:id="45"/>
      <w:bookmarkEnd w:id="45"/>
      <w:r w:rsidDel="00000000" w:rsidR="00000000" w:rsidRPr="00000000">
        <w:rPr>
          <w:rFonts w:ascii="Times New Roman" w:cs="Times New Roman" w:eastAsia="Times New Roman" w:hAnsi="Times New Roman"/>
          <w:color w:val="000000"/>
          <w:rtl w:val="0"/>
        </w:rPr>
        <w:t xml:space="preserve">4.4. Πρόληψη ψυχικής ασθένειας και προαγωγή υγείας</w:t>
      </w:r>
    </w:p>
    <w:p w:rsidR="00000000" w:rsidDel="00000000" w:rsidP="00000000" w:rsidRDefault="00000000" w:rsidRPr="00000000" w14:paraId="000002DC">
      <w:pPr>
        <w:pStyle w:val="Heading2"/>
        <w:jc w:val="center"/>
        <w:rPr>
          <w:rFonts w:ascii="Times New Roman" w:cs="Times New Roman" w:eastAsia="Times New Roman" w:hAnsi="Times New Roman"/>
          <w:i w:val="1"/>
          <w:color w:val="000000"/>
          <w:sz w:val="24"/>
          <w:szCs w:val="24"/>
        </w:rPr>
      </w:pPr>
      <w:bookmarkStart w:colFirst="0" w:colLast="0" w:name="_heading=h.28h4qwu" w:id="46"/>
      <w:bookmarkEnd w:id="46"/>
      <w:r w:rsidDel="00000000" w:rsidR="00000000" w:rsidRPr="00000000">
        <w:rPr>
          <w:rFonts w:ascii="Times New Roman" w:cs="Times New Roman" w:eastAsia="Times New Roman" w:hAnsi="Times New Roman"/>
          <w:i w:val="1"/>
          <w:color w:val="000000"/>
          <w:sz w:val="24"/>
          <w:szCs w:val="24"/>
          <w:rtl w:val="0"/>
        </w:rPr>
        <w:t xml:space="preserve">4.4.1. Προαγωγή και πρόληψη της ψυχικής υγείας στα σχολεία</w:t>
      </w:r>
    </w:p>
    <w:p w:rsidR="00000000" w:rsidDel="00000000" w:rsidP="00000000" w:rsidRDefault="00000000" w:rsidRPr="00000000" w14:paraId="000002D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Το οικονομικό κόστος της ψυχικής ασθένειας είναι σημαντικό και ορισμένες από αυτές τις δαπάνες θα μπορούσαν να αντισταθμιστούν με επενδύσεις σε περισσότερες παρεμβάσεις για την προώθηση της ψυχικής ανθεκτικότητας και ευεξίας, την πρόληψη της ψυχικής ασθένειας και την έγκαιρη παρέμβαση όταν εμφανίζονται προβλήματα ψυχικής υγείας. Τα σχολεία αποτελούν ένα πολύ αποτελεσματικό περιβάλλον για δραστηριότητες προαγωγής και πρόληψης της ψυχικής υγείας καθώς σχεδόν όλα τα παιδιά και οι έφηβοι στις χώρες του ΟΟΣΑ περνούν μεγάλο μέρος της εβδομάδας τους στο σχολείο και επειδή οι δραστηριότητες προαγωγής και πρόληψης της ψυχικής υγείας έχουν αποδειχθεί ιδιαίτερα αποτελεσματικές όταν απευθύνονται σε παιδιά και νέους (OECD, 2015; Union, 2018). Το 2020, οι περισσότερες χώρες του ΟΟΣΑ ανέφεραν ότι σε ορισμένα ή σε όλα τα σχολεία διεξάγονταν προγράμματα για την ενίσχυση του γραμματισμού για την ψυχική υγεία, τη μείωση του στίγματος και την προώθηση της κοινωνικο-συναισθηματικής μάθησης (Πίνακας 4.5). Επίσης ένα σημαντικό μέρος των εκπαιδευτικών έχουν συμμετάσχει σε προγράμματα εκπαίδευσης για την ψυχική υγεία (OECD, 2021). Οι περισσότερες χώρες που διεξήγαγαν προγράμματα εκπαίδευσης για την ψυχική υγεία ή ευαισθητοποίησης στο σχολείο, είχαν στην πραγματικότητα πολλά διαφορετικά προγράμματα, είτε σε διαφορετικά σημεία του σχολικού έτους, για διαφορετικές ηλικιακές ομάδες ή σε διαφορετικές περιοχές. Μερικές από αυτές τις χώρες που δεν ανέφεραν την ύπαρξη συγκεκριμένων προγραμμάτων για την ψυχική υγεία,  περιλάμβαναν συγκεκριμένα μαθήματα στο σχολικό πρόγραμμα, όπως για παράδειγμα στη Δανία, όπου οι μαθητές του δημοτικού διδάσκονταν για τη σωματική και ψυχική ευεξία. Η εκπαίδευση για την υγεία, τη σεξουαλικότητα και την οικογένεια, ήταν υποχρεωτικό μάθημα.  </w:t>
      </w:r>
    </w:p>
    <w:p w:rsidR="00000000" w:rsidDel="00000000" w:rsidP="00000000" w:rsidRDefault="00000000" w:rsidRPr="00000000" w14:paraId="000002DE">
      <w:pPr>
        <w:spacing w:line="276"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Πίνακας 4.5. </w:t>
      </w:r>
      <w:r w:rsidDel="00000000" w:rsidR="00000000" w:rsidRPr="00000000">
        <w:rPr>
          <w:rFonts w:ascii="Times New Roman" w:cs="Times New Roman" w:eastAsia="Times New Roman" w:hAnsi="Times New Roman"/>
          <w:sz w:val="24"/>
          <w:szCs w:val="24"/>
          <w:rtl w:val="0"/>
        </w:rPr>
        <w:t xml:space="preserve">Προγράμματα εκπαίδευσης ή ευαισθητοποίησης για την ψυχική υγεία στα σχολεία</w:t>
      </w:r>
      <w:r w:rsidDel="00000000" w:rsidR="00000000" w:rsidRPr="00000000">
        <w:rPr>
          <w:rFonts w:ascii="Times New Roman" w:cs="Times New Roman" w:eastAsia="Times New Roman" w:hAnsi="Times New Roman"/>
          <w:b w:val="1"/>
          <w:sz w:val="24"/>
          <w:szCs w:val="24"/>
          <w:rtl w:val="0"/>
        </w:rPr>
        <w:t xml:space="preserve"> </w:t>
      </w:r>
    </w:p>
    <w:tbl>
      <w:tblPr>
        <w:tblStyle w:val="Table13"/>
        <w:tblW w:w="7338.000000000001"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338"/>
        <w:gridCol w:w="1180"/>
        <w:gridCol w:w="992"/>
        <w:gridCol w:w="1134"/>
        <w:gridCol w:w="1418"/>
        <w:gridCol w:w="1276"/>
        <w:tblGridChange w:id="0">
          <w:tblGrid>
            <w:gridCol w:w="1338"/>
            <w:gridCol w:w="1180"/>
            <w:gridCol w:w="992"/>
            <w:gridCol w:w="1134"/>
            <w:gridCol w:w="1418"/>
            <w:gridCol w:w="1276"/>
          </w:tblGrid>
        </w:tblGridChange>
      </w:tblGrid>
      <w:tr>
        <w:trPr>
          <w:cantSplit w:val="1"/>
          <w:trHeight w:val="1673" w:hRule="atLeast"/>
          <w:tblHeader w:val="0"/>
        </w:trPr>
        <w:tc>
          <w:tcPr/>
          <w:p w:rsidR="00000000" w:rsidDel="00000000" w:rsidP="00000000" w:rsidRDefault="00000000" w:rsidRPr="00000000" w14:paraId="000002DF">
            <w:pPr>
              <w:rPr>
                <w:rFonts w:ascii="Times New Roman" w:cs="Times New Roman" w:eastAsia="Times New Roman" w:hAnsi="Times New Roman"/>
                <w:sz w:val="18"/>
                <w:szCs w:val="18"/>
              </w:rPr>
            </w:pPr>
            <w:r w:rsidDel="00000000" w:rsidR="00000000" w:rsidRPr="00000000">
              <w:rPr>
                <w:rtl w:val="0"/>
              </w:rPr>
            </w:r>
          </w:p>
        </w:tc>
        <w:tc>
          <w:tcPr>
            <w:vAlign w:val="center"/>
          </w:tcPr>
          <w:p w:rsidR="00000000" w:rsidDel="00000000" w:rsidP="00000000" w:rsidRDefault="00000000" w:rsidRPr="00000000" w14:paraId="000002E0">
            <w:pPr>
              <w:ind w:left="113" w:right="113" w:firstLine="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Γενικός αλφαβητισμός για την ψυχική υγεία</w:t>
            </w:r>
          </w:p>
        </w:tc>
        <w:tc>
          <w:tcPr>
            <w:vAlign w:val="center"/>
          </w:tcPr>
          <w:p w:rsidR="00000000" w:rsidDel="00000000" w:rsidP="00000000" w:rsidRDefault="00000000" w:rsidRPr="00000000" w14:paraId="000002E1">
            <w:pPr>
              <w:ind w:left="113" w:right="113" w:firstLine="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Προγράμματα ενάντια στο στίγμα</w:t>
            </w:r>
          </w:p>
        </w:tc>
        <w:tc>
          <w:tcPr>
            <w:vAlign w:val="center"/>
          </w:tcPr>
          <w:p w:rsidR="00000000" w:rsidDel="00000000" w:rsidP="00000000" w:rsidRDefault="00000000" w:rsidRPr="00000000" w14:paraId="000002E2">
            <w:pPr>
              <w:ind w:left="113" w:right="113" w:firstLine="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Προγράμματα ψυχολογικής ευεξίας</w:t>
            </w:r>
          </w:p>
        </w:tc>
        <w:tc>
          <w:tcPr>
            <w:vAlign w:val="center"/>
          </w:tcPr>
          <w:p w:rsidR="00000000" w:rsidDel="00000000" w:rsidP="00000000" w:rsidRDefault="00000000" w:rsidRPr="00000000" w14:paraId="000002E3">
            <w:pPr>
              <w:ind w:left="113" w:right="113" w:firstLine="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Προγράμματα εκμάθησης κοινωνικών και συναισθηματικών δεξιοτήτων</w:t>
            </w:r>
          </w:p>
        </w:tc>
        <w:tc>
          <w:tcPr>
            <w:vAlign w:val="center"/>
          </w:tcPr>
          <w:p w:rsidR="00000000" w:rsidDel="00000000" w:rsidP="00000000" w:rsidRDefault="00000000" w:rsidRPr="00000000" w14:paraId="000002E4">
            <w:pPr>
              <w:ind w:left="113" w:right="113" w:firstLine="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Εκπαίδευση για τις ναρκωτικές ουσίες ή το αλκοόλ</w:t>
            </w:r>
          </w:p>
        </w:tc>
      </w:tr>
      <w:tr>
        <w:trPr>
          <w:cantSplit w:val="0"/>
          <w:tblHeader w:val="0"/>
        </w:trPr>
        <w:tc>
          <w:tcPr/>
          <w:p w:rsidR="00000000" w:rsidDel="00000000" w:rsidP="00000000" w:rsidRDefault="00000000" w:rsidRPr="00000000" w14:paraId="000002E5">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Αυστρία</w:t>
            </w:r>
          </w:p>
        </w:tc>
        <w:tc>
          <w:tcPr/>
          <w:p w:rsidR="00000000" w:rsidDel="00000000" w:rsidP="00000000" w:rsidRDefault="00000000" w:rsidRPr="00000000" w14:paraId="000002E6">
            <w:pPr>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x</w:t>
            </w:r>
          </w:p>
        </w:tc>
        <w:tc>
          <w:tcPr/>
          <w:p w:rsidR="00000000" w:rsidDel="00000000" w:rsidP="00000000" w:rsidRDefault="00000000" w:rsidRPr="00000000" w14:paraId="000002E7">
            <w:pPr>
              <w:jc w:val="center"/>
              <w:rPr>
                <w:b w:val="1"/>
              </w:rPr>
            </w:pPr>
            <w:r w:rsidDel="00000000" w:rsidR="00000000" w:rsidRPr="00000000">
              <w:rPr>
                <w:b w:val="1"/>
                <w:rtl w:val="0"/>
              </w:rPr>
              <w:t xml:space="preserve">x</w:t>
            </w:r>
          </w:p>
        </w:tc>
        <w:tc>
          <w:tcPr/>
          <w:p w:rsidR="00000000" w:rsidDel="00000000" w:rsidP="00000000" w:rsidRDefault="00000000" w:rsidRPr="00000000" w14:paraId="000002E8">
            <w:pPr>
              <w:jc w:val="center"/>
              <w:rPr>
                <w:b w:val="1"/>
              </w:rPr>
            </w:pPr>
            <w:r w:rsidDel="00000000" w:rsidR="00000000" w:rsidRPr="00000000">
              <w:rPr>
                <w:b w:val="1"/>
                <w:rtl w:val="0"/>
              </w:rPr>
              <w:t xml:space="preserve">x</w:t>
            </w:r>
          </w:p>
        </w:tc>
        <w:tc>
          <w:tcPr/>
          <w:p w:rsidR="00000000" w:rsidDel="00000000" w:rsidP="00000000" w:rsidRDefault="00000000" w:rsidRPr="00000000" w14:paraId="000002E9">
            <w:pPr>
              <w:jc w:val="center"/>
              <w:rPr>
                <w:b w:val="1"/>
              </w:rPr>
            </w:pPr>
            <w:r w:rsidDel="00000000" w:rsidR="00000000" w:rsidRPr="00000000">
              <w:rPr>
                <w:b w:val="1"/>
                <w:rtl w:val="0"/>
              </w:rPr>
              <w:t xml:space="preserve">x</w:t>
            </w:r>
          </w:p>
        </w:tc>
        <w:tc>
          <w:tcPr/>
          <w:p w:rsidR="00000000" w:rsidDel="00000000" w:rsidP="00000000" w:rsidRDefault="00000000" w:rsidRPr="00000000" w14:paraId="000002EA">
            <w:pPr>
              <w:jc w:val="center"/>
              <w:rPr>
                <w:b w:val="1"/>
              </w:rPr>
            </w:pPr>
            <w:r w:rsidDel="00000000" w:rsidR="00000000" w:rsidRPr="00000000">
              <w:rPr>
                <w:b w:val="1"/>
                <w:rtl w:val="0"/>
              </w:rPr>
              <w:t xml:space="preserve">x</w:t>
            </w:r>
          </w:p>
        </w:tc>
      </w:tr>
      <w:tr>
        <w:trPr>
          <w:cantSplit w:val="0"/>
          <w:tblHeader w:val="0"/>
        </w:trPr>
        <w:tc>
          <w:tcPr/>
          <w:p w:rsidR="00000000" w:rsidDel="00000000" w:rsidP="00000000" w:rsidRDefault="00000000" w:rsidRPr="00000000" w14:paraId="000002EB">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Καναδάς</w:t>
            </w:r>
          </w:p>
        </w:tc>
        <w:tc>
          <w:tcPr/>
          <w:p w:rsidR="00000000" w:rsidDel="00000000" w:rsidP="00000000" w:rsidRDefault="00000000" w:rsidRPr="00000000" w14:paraId="000002EC">
            <w:pPr>
              <w:jc w:val="center"/>
              <w:rPr>
                <w:b w:val="1"/>
              </w:rPr>
            </w:pPr>
            <w:r w:rsidDel="00000000" w:rsidR="00000000" w:rsidRPr="00000000">
              <w:rPr>
                <w:b w:val="1"/>
                <w:rtl w:val="0"/>
              </w:rPr>
              <w:t xml:space="preserve">x</w:t>
            </w:r>
          </w:p>
        </w:tc>
        <w:tc>
          <w:tcPr/>
          <w:p w:rsidR="00000000" w:rsidDel="00000000" w:rsidP="00000000" w:rsidRDefault="00000000" w:rsidRPr="00000000" w14:paraId="000002ED">
            <w:pPr>
              <w:jc w:val="center"/>
              <w:rPr>
                <w:b w:val="1"/>
              </w:rPr>
            </w:pPr>
            <w:r w:rsidDel="00000000" w:rsidR="00000000" w:rsidRPr="00000000">
              <w:rPr>
                <w:b w:val="1"/>
                <w:rtl w:val="0"/>
              </w:rPr>
              <w:t xml:space="preserve">x</w:t>
            </w:r>
          </w:p>
        </w:tc>
        <w:tc>
          <w:tcPr/>
          <w:p w:rsidR="00000000" w:rsidDel="00000000" w:rsidP="00000000" w:rsidRDefault="00000000" w:rsidRPr="00000000" w14:paraId="000002EE">
            <w:pPr>
              <w:jc w:val="center"/>
              <w:rPr>
                <w:b w:val="1"/>
              </w:rPr>
            </w:pPr>
            <w:r w:rsidDel="00000000" w:rsidR="00000000" w:rsidRPr="00000000">
              <w:rPr>
                <w:b w:val="1"/>
                <w:rtl w:val="0"/>
              </w:rPr>
              <w:t xml:space="preserve">x</w:t>
            </w:r>
          </w:p>
        </w:tc>
        <w:tc>
          <w:tcPr/>
          <w:p w:rsidR="00000000" w:rsidDel="00000000" w:rsidP="00000000" w:rsidRDefault="00000000" w:rsidRPr="00000000" w14:paraId="000002EF">
            <w:pPr>
              <w:jc w:val="center"/>
              <w:rPr>
                <w:b w:val="1"/>
              </w:rPr>
            </w:pPr>
            <w:r w:rsidDel="00000000" w:rsidR="00000000" w:rsidRPr="00000000">
              <w:rPr>
                <w:b w:val="1"/>
                <w:rtl w:val="0"/>
              </w:rPr>
              <w:t xml:space="preserve">x</w:t>
            </w:r>
          </w:p>
        </w:tc>
        <w:tc>
          <w:tcPr/>
          <w:p w:rsidR="00000000" w:rsidDel="00000000" w:rsidP="00000000" w:rsidRDefault="00000000" w:rsidRPr="00000000" w14:paraId="000002F0">
            <w:pPr>
              <w:jc w:val="center"/>
              <w:rPr>
                <w:b w:val="1"/>
              </w:rPr>
            </w:pPr>
            <w:r w:rsidDel="00000000" w:rsidR="00000000" w:rsidRPr="00000000">
              <w:rPr>
                <w:b w:val="1"/>
                <w:rtl w:val="0"/>
              </w:rPr>
              <w:t xml:space="preserve">x</w:t>
            </w:r>
          </w:p>
        </w:tc>
      </w:tr>
      <w:tr>
        <w:trPr>
          <w:cantSplit w:val="0"/>
          <w:tblHeader w:val="0"/>
        </w:trPr>
        <w:tc>
          <w:tcPr/>
          <w:p w:rsidR="00000000" w:rsidDel="00000000" w:rsidP="00000000" w:rsidRDefault="00000000" w:rsidRPr="00000000" w14:paraId="000002F1">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Τσεχία</w:t>
            </w:r>
          </w:p>
        </w:tc>
        <w:tc>
          <w:tcPr/>
          <w:p w:rsidR="00000000" w:rsidDel="00000000" w:rsidP="00000000" w:rsidRDefault="00000000" w:rsidRPr="00000000" w14:paraId="000002F2">
            <w:pPr>
              <w:jc w:val="center"/>
              <w:rPr>
                <w:b w:val="1"/>
              </w:rPr>
            </w:pPr>
            <w:r w:rsidDel="00000000" w:rsidR="00000000" w:rsidRPr="00000000">
              <w:rPr>
                <w:rtl w:val="0"/>
              </w:rPr>
            </w:r>
          </w:p>
        </w:tc>
        <w:tc>
          <w:tcPr/>
          <w:p w:rsidR="00000000" w:rsidDel="00000000" w:rsidP="00000000" w:rsidRDefault="00000000" w:rsidRPr="00000000" w14:paraId="000002F3">
            <w:pPr>
              <w:jc w:val="center"/>
              <w:rPr>
                <w:b w:val="1"/>
              </w:rPr>
            </w:pPr>
            <w:r w:rsidDel="00000000" w:rsidR="00000000" w:rsidRPr="00000000">
              <w:rPr>
                <w:b w:val="1"/>
                <w:rtl w:val="0"/>
              </w:rPr>
              <w:t xml:space="preserve">x</w:t>
            </w:r>
          </w:p>
        </w:tc>
        <w:tc>
          <w:tcPr/>
          <w:p w:rsidR="00000000" w:rsidDel="00000000" w:rsidP="00000000" w:rsidRDefault="00000000" w:rsidRPr="00000000" w14:paraId="000002F4">
            <w:pPr>
              <w:jc w:val="center"/>
              <w:rPr>
                <w:b w:val="1"/>
              </w:rPr>
            </w:pPr>
            <w:r w:rsidDel="00000000" w:rsidR="00000000" w:rsidRPr="00000000">
              <w:rPr>
                <w:rtl w:val="0"/>
              </w:rPr>
            </w:r>
          </w:p>
        </w:tc>
        <w:tc>
          <w:tcPr/>
          <w:p w:rsidR="00000000" w:rsidDel="00000000" w:rsidP="00000000" w:rsidRDefault="00000000" w:rsidRPr="00000000" w14:paraId="000002F5">
            <w:pPr>
              <w:jc w:val="center"/>
              <w:rPr>
                <w:b w:val="1"/>
              </w:rPr>
            </w:pPr>
            <w:r w:rsidDel="00000000" w:rsidR="00000000" w:rsidRPr="00000000">
              <w:rPr>
                <w:b w:val="1"/>
                <w:rtl w:val="0"/>
              </w:rPr>
              <w:t xml:space="preserve">x</w:t>
            </w:r>
          </w:p>
        </w:tc>
        <w:tc>
          <w:tcPr/>
          <w:p w:rsidR="00000000" w:rsidDel="00000000" w:rsidP="00000000" w:rsidRDefault="00000000" w:rsidRPr="00000000" w14:paraId="000002F6">
            <w:pPr>
              <w:jc w:val="center"/>
              <w:rPr>
                <w:b w:val="1"/>
              </w:rPr>
            </w:pPr>
            <w:r w:rsidDel="00000000" w:rsidR="00000000" w:rsidRPr="00000000">
              <w:rPr>
                <w:b w:val="1"/>
                <w:rtl w:val="0"/>
              </w:rPr>
              <w:t xml:space="preserve">x</w:t>
            </w:r>
          </w:p>
        </w:tc>
      </w:tr>
      <w:tr>
        <w:trPr>
          <w:cantSplit w:val="0"/>
          <w:tblHeader w:val="0"/>
        </w:trPr>
        <w:tc>
          <w:tcPr/>
          <w:p w:rsidR="00000000" w:rsidDel="00000000" w:rsidP="00000000" w:rsidRDefault="00000000" w:rsidRPr="00000000" w14:paraId="000002F7">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Ην.Βασίλειο</w:t>
            </w:r>
          </w:p>
        </w:tc>
        <w:tc>
          <w:tcPr/>
          <w:p w:rsidR="00000000" w:rsidDel="00000000" w:rsidP="00000000" w:rsidRDefault="00000000" w:rsidRPr="00000000" w14:paraId="000002F8">
            <w:pPr>
              <w:jc w:val="center"/>
              <w:rPr>
                <w:b w:val="1"/>
              </w:rPr>
            </w:pPr>
            <w:r w:rsidDel="00000000" w:rsidR="00000000" w:rsidRPr="00000000">
              <w:rPr>
                <w:b w:val="1"/>
                <w:rtl w:val="0"/>
              </w:rPr>
              <w:t xml:space="preserve">x</w:t>
            </w:r>
          </w:p>
        </w:tc>
        <w:tc>
          <w:tcPr/>
          <w:p w:rsidR="00000000" w:rsidDel="00000000" w:rsidP="00000000" w:rsidRDefault="00000000" w:rsidRPr="00000000" w14:paraId="000002F9">
            <w:pPr>
              <w:jc w:val="center"/>
              <w:rPr>
                <w:b w:val="1"/>
              </w:rPr>
            </w:pPr>
            <w:r w:rsidDel="00000000" w:rsidR="00000000" w:rsidRPr="00000000">
              <w:rPr>
                <w:b w:val="1"/>
                <w:rtl w:val="0"/>
              </w:rPr>
              <w:t xml:space="preserve">x</w:t>
            </w:r>
          </w:p>
        </w:tc>
        <w:tc>
          <w:tcPr/>
          <w:p w:rsidR="00000000" w:rsidDel="00000000" w:rsidP="00000000" w:rsidRDefault="00000000" w:rsidRPr="00000000" w14:paraId="000002FA">
            <w:pPr>
              <w:jc w:val="center"/>
              <w:rPr>
                <w:b w:val="1"/>
              </w:rPr>
            </w:pPr>
            <w:r w:rsidDel="00000000" w:rsidR="00000000" w:rsidRPr="00000000">
              <w:rPr>
                <w:b w:val="1"/>
                <w:rtl w:val="0"/>
              </w:rPr>
              <w:t xml:space="preserve">x</w:t>
            </w:r>
          </w:p>
        </w:tc>
        <w:tc>
          <w:tcPr/>
          <w:p w:rsidR="00000000" w:rsidDel="00000000" w:rsidP="00000000" w:rsidRDefault="00000000" w:rsidRPr="00000000" w14:paraId="000002FB">
            <w:pPr>
              <w:jc w:val="center"/>
              <w:rPr>
                <w:b w:val="1"/>
              </w:rPr>
            </w:pPr>
            <w:r w:rsidDel="00000000" w:rsidR="00000000" w:rsidRPr="00000000">
              <w:rPr>
                <w:b w:val="1"/>
                <w:rtl w:val="0"/>
              </w:rPr>
              <w:t xml:space="preserve">x</w:t>
            </w:r>
          </w:p>
        </w:tc>
        <w:tc>
          <w:tcPr/>
          <w:p w:rsidR="00000000" w:rsidDel="00000000" w:rsidP="00000000" w:rsidRDefault="00000000" w:rsidRPr="00000000" w14:paraId="000002FC">
            <w:pPr>
              <w:jc w:val="center"/>
              <w:rPr>
                <w:b w:val="1"/>
              </w:rPr>
            </w:pPr>
            <w:r w:rsidDel="00000000" w:rsidR="00000000" w:rsidRPr="00000000">
              <w:rPr>
                <w:b w:val="1"/>
                <w:rtl w:val="0"/>
              </w:rPr>
              <w:t xml:space="preserve">x</w:t>
            </w:r>
          </w:p>
        </w:tc>
      </w:tr>
      <w:tr>
        <w:trPr>
          <w:cantSplit w:val="0"/>
          <w:tblHeader w:val="0"/>
        </w:trPr>
        <w:tc>
          <w:tcPr/>
          <w:p w:rsidR="00000000" w:rsidDel="00000000" w:rsidP="00000000" w:rsidRDefault="00000000" w:rsidRPr="00000000" w14:paraId="000002FD">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Εσθονία</w:t>
            </w:r>
          </w:p>
        </w:tc>
        <w:tc>
          <w:tcPr/>
          <w:p w:rsidR="00000000" w:rsidDel="00000000" w:rsidP="00000000" w:rsidRDefault="00000000" w:rsidRPr="00000000" w14:paraId="000002FE">
            <w:pPr>
              <w:jc w:val="center"/>
              <w:rPr>
                <w:b w:val="1"/>
              </w:rPr>
            </w:pPr>
            <w:r w:rsidDel="00000000" w:rsidR="00000000" w:rsidRPr="00000000">
              <w:rPr>
                <w:b w:val="1"/>
                <w:rtl w:val="0"/>
              </w:rPr>
              <w:t xml:space="preserve">x</w:t>
            </w:r>
          </w:p>
        </w:tc>
        <w:tc>
          <w:tcPr/>
          <w:p w:rsidR="00000000" w:rsidDel="00000000" w:rsidP="00000000" w:rsidRDefault="00000000" w:rsidRPr="00000000" w14:paraId="000002FF">
            <w:pPr>
              <w:jc w:val="center"/>
              <w:rPr>
                <w:b w:val="1"/>
              </w:rPr>
            </w:pPr>
            <w:r w:rsidDel="00000000" w:rsidR="00000000" w:rsidRPr="00000000">
              <w:rPr>
                <w:b w:val="1"/>
                <w:rtl w:val="0"/>
              </w:rPr>
              <w:t xml:space="preserve">x</w:t>
            </w:r>
          </w:p>
        </w:tc>
        <w:tc>
          <w:tcPr/>
          <w:p w:rsidR="00000000" w:rsidDel="00000000" w:rsidP="00000000" w:rsidRDefault="00000000" w:rsidRPr="00000000" w14:paraId="00000300">
            <w:pPr>
              <w:jc w:val="center"/>
              <w:rPr>
                <w:b w:val="1"/>
              </w:rPr>
            </w:pPr>
            <w:r w:rsidDel="00000000" w:rsidR="00000000" w:rsidRPr="00000000">
              <w:rPr>
                <w:b w:val="1"/>
                <w:rtl w:val="0"/>
              </w:rPr>
              <w:t xml:space="preserve">x</w:t>
            </w:r>
          </w:p>
        </w:tc>
        <w:tc>
          <w:tcPr/>
          <w:p w:rsidR="00000000" w:rsidDel="00000000" w:rsidP="00000000" w:rsidRDefault="00000000" w:rsidRPr="00000000" w14:paraId="00000301">
            <w:pPr>
              <w:jc w:val="center"/>
              <w:rPr>
                <w:b w:val="1"/>
              </w:rPr>
            </w:pPr>
            <w:r w:rsidDel="00000000" w:rsidR="00000000" w:rsidRPr="00000000">
              <w:rPr>
                <w:b w:val="1"/>
                <w:rtl w:val="0"/>
              </w:rPr>
              <w:t xml:space="preserve">x</w:t>
            </w:r>
          </w:p>
        </w:tc>
        <w:tc>
          <w:tcPr/>
          <w:p w:rsidR="00000000" w:rsidDel="00000000" w:rsidP="00000000" w:rsidRDefault="00000000" w:rsidRPr="00000000" w14:paraId="00000302">
            <w:pPr>
              <w:jc w:val="center"/>
              <w:rPr>
                <w:b w:val="1"/>
              </w:rPr>
            </w:pPr>
            <w:r w:rsidDel="00000000" w:rsidR="00000000" w:rsidRPr="00000000">
              <w:rPr>
                <w:b w:val="1"/>
                <w:rtl w:val="0"/>
              </w:rPr>
              <w:t xml:space="preserve">x</w:t>
            </w:r>
          </w:p>
        </w:tc>
      </w:tr>
      <w:tr>
        <w:trPr>
          <w:cantSplit w:val="0"/>
          <w:tblHeader w:val="0"/>
        </w:trPr>
        <w:tc>
          <w:tcPr/>
          <w:p w:rsidR="00000000" w:rsidDel="00000000" w:rsidP="00000000" w:rsidRDefault="00000000" w:rsidRPr="00000000" w14:paraId="00000303">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Ελλάδα</w:t>
            </w:r>
          </w:p>
        </w:tc>
        <w:tc>
          <w:tcPr/>
          <w:p w:rsidR="00000000" w:rsidDel="00000000" w:rsidP="00000000" w:rsidRDefault="00000000" w:rsidRPr="00000000" w14:paraId="00000304">
            <w:pPr>
              <w:jc w:val="center"/>
              <w:rPr>
                <w:b w:val="1"/>
              </w:rPr>
            </w:pPr>
            <w:r w:rsidDel="00000000" w:rsidR="00000000" w:rsidRPr="00000000">
              <w:rPr>
                <w:b w:val="1"/>
                <w:rtl w:val="0"/>
              </w:rPr>
              <w:t xml:space="preserve">x</w:t>
            </w:r>
          </w:p>
        </w:tc>
        <w:tc>
          <w:tcPr/>
          <w:p w:rsidR="00000000" w:rsidDel="00000000" w:rsidP="00000000" w:rsidRDefault="00000000" w:rsidRPr="00000000" w14:paraId="00000305">
            <w:pPr>
              <w:jc w:val="center"/>
              <w:rPr>
                <w:b w:val="1"/>
              </w:rPr>
            </w:pPr>
            <w:r w:rsidDel="00000000" w:rsidR="00000000" w:rsidRPr="00000000">
              <w:rPr>
                <w:b w:val="1"/>
                <w:rtl w:val="0"/>
              </w:rPr>
              <w:t xml:space="preserve">x</w:t>
            </w:r>
          </w:p>
        </w:tc>
        <w:tc>
          <w:tcPr/>
          <w:p w:rsidR="00000000" w:rsidDel="00000000" w:rsidP="00000000" w:rsidRDefault="00000000" w:rsidRPr="00000000" w14:paraId="00000306">
            <w:pPr>
              <w:jc w:val="center"/>
              <w:rPr>
                <w:b w:val="1"/>
              </w:rPr>
            </w:pPr>
            <w:r w:rsidDel="00000000" w:rsidR="00000000" w:rsidRPr="00000000">
              <w:rPr>
                <w:b w:val="1"/>
                <w:rtl w:val="0"/>
              </w:rPr>
              <w:t xml:space="preserve">x</w:t>
            </w:r>
          </w:p>
        </w:tc>
        <w:tc>
          <w:tcPr/>
          <w:p w:rsidR="00000000" w:rsidDel="00000000" w:rsidP="00000000" w:rsidRDefault="00000000" w:rsidRPr="00000000" w14:paraId="00000307">
            <w:pPr>
              <w:jc w:val="center"/>
              <w:rPr>
                <w:b w:val="1"/>
              </w:rPr>
            </w:pPr>
            <w:r w:rsidDel="00000000" w:rsidR="00000000" w:rsidRPr="00000000">
              <w:rPr>
                <w:b w:val="1"/>
                <w:rtl w:val="0"/>
              </w:rPr>
              <w:t xml:space="preserve">x</w:t>
            </w:r>
          </w:p>
        </w:tc>
        <w:tc>
          <w:tcPr/>
          <w:p w:rsidR="00000000" w:rsidDel="00000000" w:rsidP="00000000" w:rsidRDefault="00000000" w:rsidRPr="00000000" w14:paraId="00000308">
            <w:pPr>
              <w:jc w:val="center"/>
              <w:rPr>
                <w:b w:val="1"/>
              </w:rPr>
            </w:pPr>
            <w:r w:rsidDel="00000000" w:rsidR="00000000" w:rsidRPr="00000000">
              <w:rPr>
                <w:b w:val="1"/>
                <w:rtl w:val="0"/>
              </w:rPr>
              <w:t xml:space="preserve">x</w:t>
            </w:r>
          </w:p>
        </w:tc>
      </w:tr>
      <w:tr>
        <w:trPr>
          <w:cantSplit w:val="0"/>
          <w:tblHeader w:val="0"/>
        </w:trPr>
        <w:tc>
          <w:tcPr/>
          <w:p w:rsidR="00000000" w:rsidDel="00000000" w:rsidP="00000000" w:rsidRDefault="00000000" w:rsidRPr="00000000" w14:paraId="00000309">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Ισλανδία</w:t>
            </w:r>
          </w:p>
        </w:tc>
        <w:tc>
          <w:tcPr/>
          <w:p w:rsidR="00000000" w:rsidDel="00000000" w:rsidP="00000000" w:rsidRDefault="00000000" w:rsidRPr="00000000" w14:paraId="0000030A">
            <w:pPr>
              <w:jc w:val="center"/>
              <w:rPr>
                <w:b w:val="1"/>
              </w:rPr>
            </w:pPr>
            <w:r w:rsidDel="00000000" w:rsidR="00000000" w:rsidRPr="00000000">
              <w:rPr>
                <w:b w:val="1"/>
                <w:rtl w:val="0"/>
              </w:rPr>
              <w:t xml:space="preserve">x</w:t>
            </w:r>
          </w:p>
        </w:tc>
        <w:tc>
          <w:tcPr/>
          <w:p w:rsidR="00000000" w:rsidDel="00000000" w:rsidP="00000000" w:rsidRDefault="00000000" w:rsidRPr="00000000" w14:paraId="0000030B">
            <w:pPr>
              <w:jc w:val="center"/>
              <w:rPr>
                <w:b w:val="1"/>
              </w:rPr>
            </w:pPr>
            <w:r w:rsidDel="00000000" w:rsidR="00000000" w:rsidRPr="00000000">
              <w:rPr>
                <w:b w:val="1"/>
                <w:rtl w:val="0"/>
              </w:rPr>
              <w:t xml:space="preserve">x</w:t>
            </w:r>
          </w:p>
        </w:tc>
        <w:tc>
          <w:tcPr/>
          <w:p w:rsidR="00000000" w:rsidDel="00000000" w:rsidP="00000000" w:rsidRDefault="00000000" w:rsidRPr="00000000" w14:paraId="0000030C">
            <w:pPr>
              <w:jc w:val="center"/>
              <w:rPr>
                <w:b w:val="1"/>
              </w:rPr>
            </w:pPr>
            <w:r w:rsidDel="00000000" w:rsidR="00000000" w:rsidRPr="00000000">
              <w:rPr>
                <w:b w:val="1"/>
                <w:rtl w:val="0"/>
              </w:rPr>
              <w:t xml:space="preserve">x</w:t>
            </w:r>
          </w:p>
        </w:tc>
        <w:tc>
          <w:tcPr/>
          <w:p w:rsidR="00000000" w:rsidDel="00000000" w:rsidP="00000000" w:rsidRDefault="00000000" w:rsidRPr="00000000" w14:paraId="0000030D">
            <w:pPr>
              <w:jc w:val="center"/>
              <w:rPr>
                <w:b w:val="1"/>
              </w:rPr>
            </w:pPr>
            <w:r w:rsidDel="00000000" w:rsidR="00000000" w:rsidRPr="00000000">
              <w:rPr>
                <w:b w:val="1"/>
                <w:rtl w:val="0"/>
              </w:rPr>
              <w:t xml:space="preserve">x</w:t>
            </w:r>
          </w:p>
        </w:tc>
        <w:tc>
          <w:tcPr/>
          <w:p w:rsidR="00000000" w:rsidDel="00000000" w:rsidP="00000000" w:rsidRDefault="00000000" w:rsidRPr="00000000" w14:paraId="0000030E">
            <w:pPr>
              <w:jc w:val="center"/>
              <w:rPr>
                <w:b w:val="1"/>
              </w:rPr>
            </w:pPr>
            <w:r w:rsidDel="00000000" w:rsidR="00000000" w:rsidRPr="00000000">
              <w:rPr>
                <w:b w:val="1"/>
                <w:rtl w:val="0"/>
              </w:rPr>
              <w:t xml:space="preserve">x</w:t>
            </w:r>
          </w:p>
        </w:tc>
      </w:tr>
      <w:tr>
        <w:trPr>
          <w:cantSplit w:val="0"/>
          <w:tblHeader w:val="0"/>
        </w:trPr>
        <w:tc>
          <w:tcPr/>
          <w:p w:rsidR="00000000" w:rsidDel="00000000" w:rsidP="00000000" w:rsidRDefault="00000000" w:rsidRPr="00000000" w14:paraId="0000030F">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Ιρλανδία</w:t>
            </w:r>
          </w:p>
        </w:tc>
        <w:tc>
          <w:tcPr/>
          <w:p w:rsidR="00000000" w:rsidDel="00000000" w:rsidP="00000000" w:rsidRDefault="00000000" w:rsidRPr="00000000" w14:paraId="00000310">
            <w:pPr>
              <w:jc w:val="center"/>
              <w:rPr>
                <w:b w:val="1"/>
              </w:rPr>
            </w:pPr>
            <w:r w:rsidDel="00000000" w:rsidR="00000000" w:rsidRPr="00000000">
              <w:rPr>
                <w:b w:val="1"/>
                <w:rtl w:val="0"/>
              </w:rPr>
              <w:t xml:space="preserve">x</w:t>
            </w:r>
          </w:p>
        </w:tc>
        <w:tc>
          <w:tcPr/>
          <w:p w:rsidR="00000000" w:rsidDel="00000000" w:rsidP="00000000" w:rsidRDefault="00000000" w:rsidRPr="00000000" w14:paraId="00000311">
            <w:pPr>
              <w:jc w:val="center"/>
              <w:rPr>
                <w:b w:val="1"/>
              </w:rPr>
            </w:pPr>
            <w:r w:rsidDel="00000000" w:rsidR="00000000" w:rsidRPr="00000000">
              <w:rPr>
                <w:b w:val="1"/>
                <w:rtl w:val="0"/>
              </w:rPr>
              <w:t xml:space="preserve">x</w:t>
            </w:r>
          </w:p>
        </w:tc>
        <w:tc>
          <w:tcPr/>
          <w:p w:rsidR="00000000" w:rsidDel="00000000" w:rsidP="00000000" w:rsidRDefault="00000000" w:rsidRPr="00000000" w14:paraId="00000312">
            <w:pPr>
              <w:jc w:val="center"/>
              <w:rPr>
                <w:b w:val="1"/>
              </w:rPr>
            </w:pPr>
            <w:r w:rsidDel="00000000" w:rsidR="00000000" w:rsidRPr="00000000">
              <w:rPr>
                <w:b w:val="1"/>
                <w:rtl w:val="0"/>
              </w:rPr>
              <w:t xml:space="preserve">x</w:t>
            </w:r>
          </w:p>
        </w:tc>
        <w:tc>
          <w:tcPr/>
          <w:p w:rsidR="00000000" w:rsidDel="00000000" w:rsidP="00000000" w:rsidRDefault="00000000" w:rsidRPr="00000000" w14:paraId="00000313">
            <w:pPr>
              <w:jc w:val="center"/>
              <w:rPr>
                <w:b w:val="1"/>
              </w:rPr>
            </w:pPr>
            <w:r w:rsidDel="00000000" w:rsidR="00000000" w:rsidRPr="00000000">
              <w:rPr>
                <w:b w:val="1"/>
                <w:rtl w:val="0"/>
              </w:rPr>
              <w:t xml:space="preserve">x</w:t>
            </w:r>
          </w:p>
        </w:tc>
        <w:tc>
          <w:tcPr/>
          <w:p w:rsidR="00000000" w:rsidDel="00000000" w:rsidP="00000000" w:rsidRDefault="00000000" w:rsidRPr="00000000" w14:paraId="00000314">
            <w:pPr>
              <w:jc w:val="center"/>
              <w:rPr>
                <w:b w:val="1"/>
              </w:rPr>
            </w:pPr>
            <w:r w:rsidDel="00000000" w:rsidR="00000000" w:rsidRPr="00000000">
              <w:rPr>
                <w:b w:val="1"/>
                <w:rtl w:val="0"/>
              </w:rPr>
              <w:t xml:space="preserve">x</w:t>
            </w:r>
          </w:p>
        </w:tc>
      </w:tr>
      <w:tr>
        <w:trPr>
          <w:cantSplit w:val="0"/>
          <w:tblHeader w:val="0"/>
        </w:trPr>
        <w:tc>
          <w:tcPr/>
          <w:p w:rsidR="00000000" w:rsidDel="00000000" w:rsidP="00000000" w:rsidRDefault="00000000" w:rsidRPr="00000000" w14:paraId="00000315">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Ιταλία</w:t>
            </w:r>
          </w:p>
        </w:tc>
        <w:tc>
          <w:tcPr/>
          <w:p w:rsidR="00000000" w:rsidDel="00000000" w:rsidP="00000000" w:rsidRDefault="00000000" w:rsidRPr="00000000" w14:paraId="00000316">
            <w:pPr>
              <w:jc w:val="center"/>
              <w:rPr>
                <w:b w:val="1"/>
              </w:rPr>
            </w:pPr>
            <w:r w:rsidDel="00000000" w:rsidR="00000000" w:rsidRPr="00000000">
              <w:rPr>
                <w:b w:val="1"/>
                <w:rtl w:val="0"/>
              </w:rPr>
              <w:t xml:space="preserve">x</w:t>
            </w:r>
          </w:p>
        </w:tc>
        <w:tc>
          <w:tcPr/>
          <w:p w:rsidR="00000000" w:rsidDel="00000000" w:rsidP="00000000" w:rsidRDefault="00000000" w:rsidRPr="00000000" w14:paraId="00000317">
            <w:pPr>
              <w:jc w:val="center"/>
              <w:rPr>
                <w:b w:val="1"/>
              </w:rPr>
            </w:pPr>
            <w:r w:rsidDel="00000000" w:rsidR="00000000" w:rsidRPr="00000000">
              <w:rPr>
                <w:b w:val="1"/>
                <w:rtl w:val="0"/>
              </w:rPr>
              <w:t xml:space="preserve">x</w:t>
            </w:r>
          </w:p>
        </w:tc>
        <w:tc>
          <w:tcPr/>
          <w:p w:rsidR="00000000" w:rsidDel="00000000" w:rsidP="00000000" w:rsidRDefault="00000000" w:rsidRPr="00000000" w14:paraId="00000318">
            <w:pPr>
              <w:jc w:val="center"/>
              <w:rPr>
                <w:b w:val="1"/>
              </w:rPr>
            </w:pPr>
            <w:r w:rsidDel="00000000" w:rsidR="00000000" w:rsidRPr="00000000">
              <w:rPr>
                <w:b w:val="1"/>
                <w:rtl w:val="0"/>
              </w:rPr>
              <w:t xml:space="preserve">x</w:t>
            </w:r>
          </w:p>
        </w:tc>
        <w:tc>
          <w:tcPr/>
          <w:p w:rsidR="00000000" w:rsidDel="00000000" w:rsidP="00000000" w:rsidRDefault="00000000" w:rsidRPr="00000000" w14:paraId="00000319">
            <w:pPr>
              <w:jc w:val="center"/>
              <w:rPr>
                <w:b w:val="1"/>
              </w:rPr>
            </w:pPr>
            <w:r w:rsidDel="00000000" w:rsidR="00000000" w:rsidRPr="00000000">
              <w:rPr>
                <w:b w:val="1"/>
                <w:rtl w:val="0"/>
              </w:rPr>
              <w:t xml:space="preserve">x</w:t>
            </w:r>
          </w:p>
        </w:tc>
        <w:tc>
          <w:tcPr/>
          <w:p w:rsidR="00000000" w:rsidDel="00000000" w:rsidP="00000000" w:rsidRDefault="00000000" w:rsidRPr="00000000" w14:paraId="0000031A">
            <w:pPr>
              <w:jc w:val="center"/>
              <w:rPr>
                <w:b w:val="1"/>
              </w:rPr>
            </w:pPr>
            <w:r w:rsidDel="00000000" w:rsidR="00000000" w:rsidRPr="00000000">
              <w:rPr>
                <w:b w:val="1"/>
                <w:rtl w:val="0"/>
              </w:rPr>
              <w:t xml:space="preserve">x</w:t>
            </w:r>
          </w:p>
        </w:tc>
      </w:tr>
      <w:tr>
        <w:trPr>
          <w:cantSplit w:val="0"/>
          <w:tblHeader w:val="0"/>
        </w:trPr>
        <w:tc>
          <w:tcPr/>
          <w:p w:rsidR="00000000" w:rsidDel="00000000" w:rsidP="00000000" w:rsidRDefault="00000000" w:rsidRPr="00000000" w14:paraId="0000031B">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Ιαπωνία</w:t>
            </w:r>
          </w:p>
        </w:tc>
        <w:tc>
          <w:tcPr/>
          <w:p w:rsidR="00000000" w:rsidDel="00000000" w:rsidP="00000000" w:rsidRDefault="00000000" w:rsidRPr="00000000" w14:paraId="0000031C">
            <w:pPr>
              <w:jc w:val="center"/>
              <w:rPr>
                <w:b w:val="1"/>
              </w:rPr>
            </w:pPr>
            <w:r w:rsidDel="00000000" w:rsidR="00000000" w:rsidRPr="00000000">
              <w:rPr>
                <w:b w:val="1"/>
                <w:rtl w:val="0"/>
              </w:rPr>
              <w:t xml:space="preserve">x</w:t>
            </w:r>
          </w:p>
        </w:tc>
        <w:tc>
          <w:tcPr/>
          <w:p w:rsidR="00000000" w:rsidDel="00000000" w:rsidP="00000000" w:rsidRDefault="00000000" w:rsidRPr="00000000" w14:paraId="0000031D">
            <w:pPr>
              <w:jc w:val="center"/>
              <w:rPr>
                <w:b w:val="1"/>
              </w:rPr>
            </w:pPr>
            <w:r w:rsidDel="00000000" w:rsidR="00000000" w:rsidRPr="00000000">
              <w:rPr>
                <w:b w:val="1"/>
                <w:rtl w:val="0"/>
              </w:rPr>
              <w:t xml:space="preserve">x</w:t>
            </w:r>
          </w:p>
        </w:tc>
        <w:tc>
          <w:tcPr/>
          <w:p w:rsidR="00000000" w:rsidDel="00000000" w:rsidP="00000000" w:rsidRDefault="00000000" w:rsidRPr="00000000" w14:paraId="0000031E">
            <w:pPr>
              <w:jc w:val="center"/>
              <w:rPr>
                <w:b w:val="1"/>
              </w:rPr>
            </w:pPr>
            <w:r w:rsidDel="00000000" w:rsidR="00000000" w:rsidRPr="00000000">
              <w:rPr>
                <w:b w:val="1"/>
                <w:rtl w:val="0"/>
              </w:rPr>
              <w:t xml:space="preserve">x</w:t>
            </w:r>
          </w:p>
        </w:tc>
        <w:tc>
          <w:tcPr/>
          <w:p w:rsidR="00000000" w:rsidDel="00000000" w:rsidP="00000000" w:rsidRDefault="00000000" w:rsidRPr="00000000" w14:paraId="0000031F">
            <w:pPr>
              <w:jc w:val="center"/>
              <w:rPr>
                <w:b w:val="1"/>
              </w:rPr>
            </w:pPr>
            <w:r w:rsidDel="00000000" w:rsidR="00000000" w:rsidRPr="00000000">
              <w:rPr>
                <w:b w:val="1"/>
                <w:rtl w:val="0"/>
              </w:rPr>
              <w:t xml:space="preserve">x</w:t>
            </w:r>
          </w:p>
        </w:tc>
        <w:tc>
          <w:tcPr/>
          <w:p w:rsidR="00000000" w:rsidDel="00000000" w:rsidP="00000000" w:rsidRDefault="00000000" w:rsidRPr="00000000" w14:paraId="00000320">
            <w:pPr>
              <w:jc w:val="center"/>
              <w:rPr>
                <w:b w:val="1"/>
              </w:rPr>
            </w:pPr>
            <w:r w:rsidDel="00000000" w:rsidR="00000000" w:rsidRPr="00000000">
              <w:rPr>
                <w:b w:val="1"/>
                <w:rtl w:val="0"/>
              </w:rPr>
              <w:t xml:space="preserve">x</w:t>
            </w:r>
          </w:p>
        </w:tc>
      </w:tr>
      <w:tr>
        <w:trPr>
          <w:cantSplit w:val="0"/>
          <w:tblHeader w:val="0"/>
        </w:trPr>
        <w:tc>
          <w:tcPr/>
          <w:p w:rsidR="00000000" w:rsidDel="00000000" w:rsidP="00000000" w:rsidRDefault="00000000" w:rsidRPr="00000000" w14:paraId="00000321">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Κορέα</w:t>
            </w:r>
          </w:p>
        </w:tc>
        <w:tc>
          <w:tcPr/>
          <w:p w:rsidR="00000000" w:rsidDel="00000000" w:rsidP="00000000" w:rsidRDefault="00000000" w:rsidRPr="00000000" w14:paraId="00000322">
            <w:pPr>
              <w:jc w:val="center"/>
              <w:rPr>
                <w:b w:val="1"/>
              </w:rPr>
            </w:pPr>
            <w:r w:rsidDel="00000000" w:rsidR="00000000" w:rsidRPr="00000000">
              <w:rPr>
                <w:b w:val="1"/>
                <w:rtl w:val="0"/>
              </w:rPr>
              <w:t xml:space="preserve">x</w:t>
            </w:r>
          </w:p>
        </w:tc>
        <w:tc>
          <w:tcPr/>
          <w:p w:rsidR="00000000" w:rsidDel="00000000" w:rsidP="00000000" w:rsidRDefault="00000000" w:rsidRPr="00000000" w14:paraId="00000323">
            <w:pPr>
              <w:jc w:val="center"/>
              <w:rPr>
                <w:b w:val="1"/>
              </w:rPr>
            </w:pPr>
            <w:r w:rsidDel="00000000" w:rsidR="00000000" w:rsidRPr="00000000">
              <w:rPr>
                <w:b w:val="1"/>
                <w:rtl w:val="0"/>
              </w:rPr>
              <w:t xml:space="preserve">x</w:t>
            </w:r>
          </w:p>
        </w:tc>
        <w:tc>
          <w:tcPr/>
          <w:p w:rsidR="00000000" w:rsidDel="00000000" w:rsidP="00000000" w:rsidRDefault="00000000" w:rsidRPr="00000000" w14:paraId="00000324">
            <w:pPr>
              <w:jc w:val="center"/>
              <w:rPr>
                <w:b w:val="1"/>
              </w:rPr>
            </w:pPr>
            <w:r w:rsidDel="00000000" w:rsidR="00000000" w:rsidRPr="00000000">
              <w:rPr>
                <w:b w:val="1"/>
                <w:rtl w:val="0"/>
              </w:rPr>
              <w:t xml:space="preserve">x</w:t>
            </w:r>
          </w:p>
        </w:tc>
        <w:tc>
          <w:tcPr/>
          <w:p w:rsidR="00000000" w:rsidDel="00000000" w:rsidP="00000000" w:rsidRDefault="00000000" w:rsidRPr="00000000" w14:paraId="00000325">
            <w:pPr>
              <w:jc w:val="center"/>
              <w:rPr>
                <w:b w:val="1"/>
              </w:rPr>
            </w:pPr>
            <w:r w:rsidDel="00000000" w:rsidR="00000000" w:rsidRPr="00000000">
              <w:rPr>
                <w:b w:val="1"/>
                <w:rtl w:val="0"/>
              </w:rPr>
              <w:t xml:space="preserve">x</w:t>
            </w:r>
          </w:p>
        </w:tc>
        <w:tc>
          <w:tcPr/>
          <w:p w:rsidR="00000000" w:rsidDel="00000000" w:rsidP="00000000" w:rsidRDefault="00000000" w:rsidRPr="00000000" w14:paraId="00000326">
            <w:pPr>
              <w:jc w:val="center"/>
              <w:rPr>
                <w:b w:val="1"/>
              </w:rPr>
            </w:pPr>
            <w:r w:rsidDel="00000000" w:rsidR="00000000" w:rsidRPr="00000000">
              <w:rPr>
                <w:b w:val="1"/>
                <w:rtl w:val="0"/>
              </w:rPr>
              <w:t xml:space="preserve">x</w:t>
            </w:r>
          </w:p>
        </w:tc>
      </w:tr>
      <w:tr>
        <w:trPr>
          <w:cantSplit w:val="0"/>
          <w:tblHeader w:val="0"/>
        </w:trPr>
        <w:tc>
          <w:tcPr/>
          <w:p w:rsidR="00000000" w:rsidDel="00000000" w:rsidP="00000000" w:rsidRDefault="00000000" w:rsidRPr="00000000" w14:paraId="00000327">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Λετονία</w:t>
            </w:r>
          </w:p>
        </w:tc>
        <w:tc>
          <w:tcPr/>
          <w:p w:rsidR="00000000" w:rsidDel="00000000" w:rsidP="00000000" w:rsidRDefault="00000000" w:rsidRPr="00000000" w14:paraId="00000328">
            <w:pPr>
              <w:jc w:val="center"/>
              <w:rPr>
                <w:b w:val="1"/>
              </w:rPr>
            </w:pPr>
            <w:r w:rsidDel="00000000" w:rsidR="00000000" w:rsidRPr="00000000">
              <w:rPr>
                <w:b w:val="1"/>
                <w:rtl w:val="0"/>
              </w:rPr>
              <w:t xml:space="preserve">x</w:t>
            </w:r>
          </w:p>
        </w:tc>
        <w:tc>
          <w:tcPr/>
          <w:p w:rsidR="00000000" w:rsidDel="00000000" w:rsidP="00000000" w:rsidRDefault="00000000" w:rsidRPr="00000000" w14:paraId="00000329">
            <w:pPr>
              <w:jc w:val="center"/>
              <w:rPr>
                <w:b w:val="1"/>
              </w:rPr>
            </w:pPr>
            <w:r w:rsidDel="00000000" w:rsidR="00000000" w:rsidRPr="00000000">
              <w:rPr>
                <w:rtl w:val="0"/>
              </w:rPr>
            </w:r>
          </w:p>
        </w:tc>
        <w:tc>
          <w:tcPr/>
          <w:p w:rsidR="00000000" w:rsidDel="00000000" w:rsidP="00000000" w:rsidRDefault="00000000" w:rsidRPr="00000000" w14:paraId="0000032A">
            <w:pPr>
              <w:jc w:val="center"/>
              <w:rPr>
                <w:b w:val="1"/>
              </w:rPr>
            </w:pPr>
            <w:r w:rsidDel="00000000" w:rsidR="00000000" w:rsidRPr="00000000">
              <w:rPr>
                <w:b w:val="1"/>
                <w:rtl w:val="0"/>
              </w:rPr>
              <w:t xml:space="preserve">x</w:t>
            </w:r>
          </w:p>
        </w:tc>
        <w:tc>
          <w:tcPr/>
          <w:p w:rsidR="00000000" w:rsidDel="00000000" w:rsidP="00000000" w:rsidRDefault="00000000" w:rsidRPr="00000000" w14:paraId="0000032B">
            <w:pPr>
              <w:jc w:val="center"/>
              <w:rPr>
                <w:b w:val="1"/>
              </w:rPr>
            </w:pPr>
            <w:r w:rsidDel="00000000" w:rsidR="00000000" w:rsidRPr="00000000">
              <w:rPr>
                <w:b w:val="1"/>
                <w:rtl w:val="0"/>
              </w:rPr>
              <w:t xml:space="preserve">x</w:t>
            </w:r>
          </w:p>
        </w:tc>
        <w:tc>
          <w:tcPr/>
          <w:p w:rsidR="00000000" w:rsidDel="00000000" w:rsidP="00000000" w:rsidRDefault="00000000" w:rsidRPr="00000000" w14:paraId="0000032C">
            <w:pPr>
              <w:jc w:val="center"/>
              <w:rPr>
                <w:b w:val="1"/>
              </w:rPr>
            </w:pPr>
            <w:r w:rsidDel="00000000" w:rsidR="00000000" w:rsidRPr="00000000">
              <w:rPr>
                <w:b w:val="1"/>
                <w:rtl w:val="0"/>
              </w:rPr>
              <w:t xml:space="preserve">x</w:t>
            </w:r>
          </w:p>
        </w:tc>
      </w:tr>
      <w:tr>
        <w:trPr>
          <w:cantSplit w:val="0"/>
          <w:tblHeader w:val="0"/>
        </w:trPr>
        <w:tc>
          <w:tcPr/>
          <w:p w:rsidR="00000000" w:rsidDel="00000000" w:rsidP="00000000" w:rsidRDefault="00000000" w:rsidRPr="00000000" w14:paraId="0000032D">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Νέα Ζηλανδία</w:t>
            </w:r>
          </w:p>
        </w:tc>
        <w:tc>
          <w:tcPr/>
          <w:p w:rsidR="00000000" w:rsidDel="00000000" w:rsidP="00000000" w:rsidRDefault="00000000" w:rsidRPr="00000000" w14:paraId="0000032E">
            <w:pPr>
              <w:jc w:val="center"/>
              <w:rPr>
                <w:b w:val="1"/>
              </w:rPr>
            </w:pPr>
            <w:r w:rsidDel="00000000" w:rsidR="00000000" w:rsidRPr="00000000">
              <w:rPr>
                <w:b w:val="1"/>
                <w:rtl w:val="0"/>
              </w:rPr>
              <w:t xml:space="preserve">x</w:t>
            </w:r>
          </w:p>
        </w:tc>
        <w:tc>
          <w:tcPr/>
          <w:p w:rsidR="00000000" w:rsidDel="00000000" w:rsidP="00000000" w:rsidRDefault="00000000" w:rsidRPr="00000000" w14:paraId="0000032F">
            <w:pPr>
              <w:jc w:val="center"/>
              <w:rPr>
                <w:b w:val="1"/>
              </w:rPr>
            </w:pPr>
            <w:r w:rsidDel="00000000" w:rsidR="00000000" w:rsidRPr="00000000">
              <w:rPr>
                <w:b w:val="1"/>
                <w:rtl w:val="0"/>
              </w:rPr>
              <w:t xml:space="preserve">x</w:t>
            </w:r>
          </w:p>
        </w:tc>
        <w:tc>
          <w:tcPr/>
          <w:p w:rsidR="00000000" w:rsidDel="00000000" w:rsidP="00000000" w:rsidRDefault="00000000" w:rsidRPr="00000000" w14:paraId="00000330">
            <w:pPr>
              <w:jc w:val="center"/>
              <w:rPr>
                <w:b w:val="1"/>
              </w:rPr>
            </w:pPr>
            <w:r w:rsidDel="00000000" w:rsidR="00000000" w:rsidRPr="00000000">
              <w:rPr>
                <w:b w:val="1"/>
                <w:rtl w:val="0"/>
              </w:rPr>
              <w:t xml:space="preserve">x</w:t>
            </w:r>
          </w:p>
        </w:tc>
        <w:tc>
          <w:tcPr/>
          <w:p w:rsidR="00000000" w:rsidDel="00000000" w:rsidP="00000000" w:rsidRDefault="00000000" w:rsidRPr="00000000" w14:paraId="00000331">
            <w:pPr>
              <w:jc w:val="center"/>
              <w:rPr>
                <w:b w:val="1"/>
              </w:rPr>
            </w:pPr>
            <w:r w:rsidDel="00000000" w:rsidR="00000000" w:rsidRPr="00000000">
              <w:rPr>
                <w:b w:val="1"/>
                <w:rtl w:val="0"/>
              </w:rPr>
              <w:t xml:space="preserve">x</w:t>
            </w:r>
          </w:p>
        </w:tc>
        <w:tc>
          <w:tcPr/>
          <w:p w:rsidR="00000000" w:rsidDel="00000000" w:rsidP="00000000" w:rsidRDefault="00000000" w:rsidRPr="00000000" w14:paraId="00000332">
            <w:pPr>
              <w:jc w:val="center"/>
              <w:rPr>
                <w:b w:val="1"/>
              </w:rPr>
            </w:pPr>
            <w:r w:rsidDel="00000000" w:rsidR="00000000" w:rsidRPr="00000000">
              <w:rPr>
                <w:b w:val="1"/>
                <w:rtl w:val="0"/>
              </w:rPr>
              <w:t xml:space="preserve">x</w:t>
            </w:r>
          </w:p>
        </w:tc>
      </w:tr>
      <w:tr>
        <w:trPr>
          <w:cantSplit w:val="0"/>
          <w:tblHeader w:val="0"/>
        </w:trPr>
        <w:tc>
          <w:tcPr/>
          <w:p w:rsidR="00000000" w:rsidDel="00000000" w:rsidP="00000000" w:rsidRDefault="00000000" w:rsidRPr="00000000" w14:paraId="00000333">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Ολλανδία</w:t>
            </w:r>
          </w:p>
        </w:tc>
        <w:tc>
          <w:tcPr/>
          <w:p w:rsidR="00000000" w:rsidDel="00000000" w:rsidP="00000000" w:rsidRDefault="00000000" w:rsidRPr="00000000" w14:paraId="00000334">
            <w:pPr>
              <w:jc w:val="center"/>
              <w:rPr>
                <w:b w:val="1"/>
              </w:rPr>
            </w:pPr>
            <w:r w:rsidDel="00000000" w:rsidR="00000000" w:rsidRPr="00000000">
              <w:rPr>
                <w:b w:val="1"/>
                <w:rtl w:val="0"/>
              </w:rPr>
              <w:t xml:space="preserve">x</w:t>
            </w:r>
          </w:p>
        </w:tc>
        <w:tc>
          <w:tcPr/>
          <w:p w:rsidR="00000000" w:rsidDel="00000000" w:rsidP="00000000" w:rsidRDefault="00000000" w:rsidRPr="00000000" w14:paraId="00000335">
            <w:pPr>
              <w:jc w:val="center"/>
              <w:rPr>
                <w:b w:val="1"/>
              </w:rPr>
            </w:pPr>
            <w:r w:rsidDel="00000000" w:rsidR="00000000" w:rsidRPr="00000000">
              <w:rPr>
                <w:b w:val="1"/>
                <w:rtl w:val="0"/>
              </w:rPr>
              <w:t xml:space="preserve">x</w:t>
            </w:r>
          </w:p>
        </w:tc>
        <w:tc>
          <w:tcPr/>
          <w:p w:rsidR="00000000" w:rsidDel="00000000" w:rsidP="00000000" w:rsidRDefault="00000000" w:rsidRPr="00000000" w14:paraId="00000336">
            <w:pPr>
              <w:jc w:val="center"/>
              <w:rPr>
                <w:b w:val="1"/>
              </w:rPr>
            </w:pPr>
            <w:r w:rsidDel="00000000" w:rsidR="00000000" w:rsidRPr="00000000">
              <w:rPr>
                <w:b w:val="1"/>
                <w:rtl w:val="0"/>
              </w:rPr>
              <w:t xml:space="preserve">x</w:t>
            </w:r>
          </w:p>
        </w:tc>
        <w:tc>
          <w:tcPr/>
          <w:p w:rsidR="00000000" w:rsidDel="00000000" w:rsidP="00000000" w:rsidRDefault="00000000" w:rsidRPr="00000000" w14:paraId="00000337">
            <w:pPr>
              <w:jc w:val="center"/>
              <w:rPr>
                <w:b w:val="1"/>
              </w:rPr>
            </w:pPr>
            <w:r w:rsidDel="00000000" w:rsidR="00000000" w:rsidRPr="00000000">
              <w:rPr>
                <w:rtl w:val="0"/>
              </w:rPr>
            </w:r>
          </w:p>
        </w:tc>
        <w:tc>
          <w:tcPr/>
          <w:p w:rsidR="00000000" w:rsidDel="00000000" w:rsidP="00000000" w:rsidRDefault="00000000" w:rsidRPr="00000000" w14:paraId="00000338">
            <w:pPr>
              <w:jc w:val="center"/>
              <w:rPr>
                <w:b w:val="1"/>
              </w:rPr>
            </w:pPr>
            <w:r w:rsidDel="00000000" w:rsidR="00000000" w:rsidRPr="00000000">
              <w:rPr>
                <w:rtl w:val="0"/>
              </w:rPr>
            </w:r>
          </w:p>
        </w:tc>
      </w:tr>
      <w:tr>
        <w:trPr>
          <w:cantSplit w:val="0"/>
          <w:tblHeader w:val="0"/>
        </w:trPr>
        <w:tc>
          <w:tcPr/>
          <w:p w:rsidR="00000000" w:rsidDel="00000000" w:rsidP="00000000" w:rsidRDefault="00000000" w:rsidRPr="00000000" w14:paraId="00000339">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Νορβηγία</w:t>
            </w:r>
          </w:p>
        </w:tc>
        <w:tc>
          <w:tcPr/>
          <w:p w:rsidR="00000000" w:rsidDel="00000000" w:rsidP="00000000" w:rsidRDefault="00000000" w:rsidRPr="00000000" w14:paraId="0000033A">
            <w:pPr>
              <w:jc w:val="center"/>
              <w:rPr>
                <w:b w:val="1"/>
              </w:rPr>
            </w:pPr>
            <w:r w:rsidDel="00000000" w:rsidR="00000000" w:rsidRPr="00000000">
              <w:rPr>
                <w:b w:val="1"/>
                <w:rtl w:val="0"/>
              </w:rPr>
              <w:t xml:space="preserve">x</w:t>
            </w:r>
          </w:p>
        </w:tc>
        <w:tc>
          <w:tcPr/>
          <w:p w:rsidR="00000000" w:rsidDel="00000000" w:rsidP="00000000" w:rsidRDefault="00000000" w:rsidRPr="00000000" w14:paraId="0000033B">
            <w:pPr>
              <w:jc w:val="center"/>
              <w:rPr>
                <w:b w:val="1"/>
              </w:rPr>
            </w:pPr>
            <w:r w:rsidDel="00000000" w:rsidR="00000000" w:rsidRPr="00000000">
              <w:rPr>
                <w:b w:val="1"/>
                <w:rtl w:val="0"/>
              </w:rPr>
              <w:t xml:space="preserve">x</w:t>
            </w:r>
          </w:p>
        </w:tc>
        <w:tc>
          <w:tcPr/>
          <w:p w:rsidR="00000000" w:rsidDel="00000000" w:rsidP="00000000" w:rsidRDefault="00000000" w:rsidRPr="00000000" w14:paraId="0000033C">
            <w:pPr>
              <w:jc w:val="center"/>
              <w:rPr>
                <w:b w:val="1"/>
              </w:rPr>
            </w:pPr>
            <w:r w:rsidDel="00000000" w:rsidR="00000000" w:rsidRPr="00000000">
              <w:rPr>
                <w:b w:val="1"/>
                <w:rtl w:val="0"/>
              </w:rPr>
              <w:t xml:space="preserve">x</w:t>
            </w:r>
          </w:p>
        </w:tc>
        <w:tc>
          <w:tcPr/>
          <w:p w:rsidR="00000000" w:rsidDel="00000000" w:rsidP="00000000" w:rsidRDefault="00000000" w:rsidRPr="00000000" w14:paraId="0000033D">
            <w:pPr>
              <w:jc w:val="center"/>
              <w:rPr>
                <w:b w:val="1"/>
              </w:rPr>
            </w:pPr>
            <w:r w:rsidDel="00000000" w:rsidR="00000000" w:rsidRPr="00000000">
              <w:rPr>
                <w:b w:val="1"/>
                <w:rtl w:val="0"/>
              </w:rPr>
              <w:t xml:space="preserve">x</w:t>
            </w:r>
          </w:p>
        </w:tc>
        <w:tc>
          <w:tcPr/>
          <w:p w:rsidR="00000000" w:rsidDel="00000000" w:rsidP="00000000" w:rsidRDefault="00000000" w:rsidRPr="00000000" w14:paraId="0000033E">
            <w:pPr>
              <w:jc w:val="center"/>
              <w:rPr>
                <w:b w:val="1"/>
              </w:rPr>
            </w:pPr>
            <w:r w:rsidDel="00000000" w:rsidR="00000000" w:rsidRPr="00000000">
              <w:rPr>
                <w:b w:val="1"/>
                <w:rtl w:val="0"/>
              </w:rPr>
              <w:t xml:space="preserve">x</w:t>
            </w:r>
          </w:p>
        </w:tc>
      </w:tr>
      <w:tr>
        <w:trPr>
          <w:cantSplit w:val="0"/>
          <w:tblHeader w:val="0"/>
        </w:trPr>
        <w:tc>
          <w:tcPr/>
          <w:p w:rsidR="00000000" w:rsidDel="00000000" w:rsidP="00000000" w:rsidRDefault="00000000" w:rsidRPr="00000000" w14:paraId="0000033F">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Σλοβενία</w:t>
            </w:r>
          </w:p>
        </w:tc>
        <w:tc>
          <w:tcPr/>
          <w:p w:rsidR="00000000" w:rsidDel="00000000" w:rsidP="00000000" w:rsidRDefault="00000000" w:rsidRPr="00000000" w14:paraId="00000340">
            <w:pPr>
              <w:jc w:val="center"/>
              <w:rPr>
                <w:b w:val="1"/>
              </w:rPr>
            </w:pPr>
            <w:r w:rsidDel="00000000" w:rsidR="00000000" w:rsidRPr="00000000">
              <w:rPr>
                <w:b w:val="1"/>
                <w:rtl w:val="0"/>
              </w:rPr>
              <w:t xml:space="preserve">x</w:t>
            </w:r>
          </w:p>
        </w:tc>
        <w:tc>
          <w:tcPr/>
          <w:p w:rsidR="00000000" w:rsidDel="00000000" w:rsidP="00000000" w:rsidRDefault="00000000" w:rsidRPr="00000000" w14:paraId="00000341">
            <w:pPr>
              <w:jc w:val="center"/>
              <w:rPr>
                <w:b w:val="1"/>
              </w:rPr>
            </w:pPr>
            <w:r w:rsidDel="00000000" w:rsidR="00000000" w:rsidRPr="00000000">
              <w:rPr>
                <w:b w:val="1"/>
                <w:rtl w:val="0"/>
              </w:rPr>
              <w:t xml:space="preserve">x</w:t>
            </w:r>
          </w:p>
        </w:tc>
        <w:tc>
          <w:tcPr/>
          <w:p w:rsidR="00000000" w:rsidDel="00000000" w:rsidP="00000000" w:rsidRDefault="00000000" w:rsidRPr="00000000" w14:paraId="00000342">
            <w:pPr>
              <w:jc w:val="center"/>
              <w:rPr>
                <w:b w:val="1"/>
              </w:rPr>
            </w:pPr>
            <w:r w:rsidDel="00000000" w:rsidR="00000000" w:rsidRPr="00000000">
              <w:rPr>
                <w:b w:val="1"/>
                <w:rtl w:val="0"/>
              </w:rPr>
              <w:t xml:space="preserve">x</w:t>
            </w:r>
          </w:p>
        </w:tc>
        <w:tc>
          <w:tcPr/>
          <w:p w:rsidR="00000000" w:rsidDel="00000000" w:rsidP="00000000" w:rsidRDefault="00000000" w:rsidRPr="00000000" w14:paraId="00000343">
            <w:pPr>
              <w:jc w:val="center"/>
              <w:rPr>
                <w:b w:val="1"/>
              </w:rPr>
            </w:pPr>
            <w:r w:rsidDel="00000000" w:rsidR="00000000" w:rsidRPr="00000000">
              <w:rPr>
                <w:b w:val="1"/>
                <w:rtl w:val="0"/>
              </w:rPr>
              <w:t xml:space="preserve">x</w:t>
            </w:r>
          </w:p>
        </w:tc>
        <w:tc>
          <w:tcPr/>
          <w:p w:rsidR="00000000" w:rsidDel="00000000" w:rsidP="00000000" w:rsidRDefault="00000000" w:rsidRPr="00000000" w14:paraId="00000344">
            <w:pPr>
              <w:jc w:val="center"/>
              <w:rPr>
                <w:b w:val="1"/>
              </w:rPr>
            </w:pPr>
            <w:r w:rsidDel="00000000" w:rsidR="00000000" w:rsidRPr="00000000">
              <w:rPr>
                <w:b w:val="1"/>
                <w:rtl w:val="0"/>
              </w:rPr>
              <w:t xml:space="preserve">x</w:t>
            </w:r>
          </w:p>
        </w:tc>
      </w:tr>
      <w:tr>
        <w:trPr>
          <w:cantSplit w:val="0"/>
          <w:tblHeader w:val="0"/>
        </w:trPr>
        <w:tc>
          <w:tcPr/>
          <w:p w:rsidR="00000000" w:rsidDel="00000000" w:rsidP="00000000" w:rsidRDefault="00000000" w:rsidRPr="00000000" w14:paraId="00000345">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Σουηδία</w:t>
            </w:r>
          </w:p>
        </w:tc>
        <w:tc>
          <w:tcPr/>
          <w:p w:rsidR="00000000" w:rsidDel="00000000" w:rsidP="00000000" w:rsidRDefault="00000000" w:rsidRPr="00000000" w14:paraId="00000346">
            <w:pPr>
              <w:jc w:val="center"/>
              <w:rPr>
                <w:b w:val="1"/>
              </w:rPr>
            </w:pPr>
            <w:r w:rsidDel="00000000" w:rsidR="00000000" w:rsidRPr="00000000">
              <w:rPr>
                <w:b w:val="1"/>
                <w:rtl w:val="0"/>
              </w:rPr>
              <w:t xml:space="preserve">x</w:t>
            </w:r>
          </w:p>
        </w:tc>
        <w:tc>
          <w:tcPr/>
          <w:p w:rsidR="00000000" w:rsidDel="00000000" w:rsidP="00000000" w:rsidRDefault="00000000" w:rsidRPr="00000000" w14:paraId="00000347">
            <w:pPr>
              <w:jc w:val="center"/>
              <w:rPr>
                <w:b w:val="1"/>
              </w:rPr>
            </w:pPr>
            <w:r w:rsidDel="00000000" w:rsidR="00000000" w:rsidRPr="00000000">
              <w:rPr>
                <w:b w:val="1"/>
                <w:rtl w:val="0"/>
              </w:rPr>
              <w:t xml:space="preserve">x</w:t>
            </w:r>
          </w:p>
        </w:tc>
        <w:tc>
          <w:tcPr/>
          <w:p w:rsidR="00000000" w:rsidDel="00000000" w:rsidP="00000000" w:rsidRDefault="00000000" w:rsidRPr="00000000" w14:paraId="00000348">
            <w:pPr>
              <w:jc w:val="center"/>
              <w:rPr>
                <w:b w:val="1"/>
              </w:rPr>
            </w:pPr>
            <w:r w:rsidDel="00000000" w:rsidR="00000000" w:rsidRPr="00000000">
              <w:rPr>
                <w:b w:val="1"/>
                <w:rtl w:val="0"/>
              </w:rPr>
              <w:t xml:space="preserve">x</w:t>
            </w:r>
          </w:p>
        </w:tc>
        <w:tc>
          <w:tcPr/>
          <w:p w:rsidR="00000000" w:rsidDel="00000000" w:rsidP="00000000" w:rsidRDefault="00000000" w:rsidRPr="00000000" w14:paraId="00000349">
            <w:pPr>
              <w:jc w:val="center"/>
              <w:rPr>
                <w:b w:val="1"/>
              </w:rPr>
            </w:pPr>
            <w:r w:rsidDel="00000000" w:rsidR="00000000" w:rsidRPr="00000000">
              <w:rPr>
                <w:b w:val="1"/>
                <w:rtl w:val="0"/>
              </w:rPr>
              <w:t xml:space="preserve">x</w:t>
            </w:r>
          </w:p>
        </w:tc>
        <w:tc>
          <w:tcPr/>
          <w:p w:rsidR="00000000" w:rsidDel="00000000" w:rsidP="00000000" w:rsidRDefault="00000000" w:rsidRPr="00000000" w14:paraId="0000034A">
            <w:pPr>
              <w:jc w:val="center"/>
              <w:rPr>
                <w:b w:val="1"/>
              </w:rPr>
            </w:pPr>
            <w:r w:rsidDel="00000000" w:rsidR="00000000" w:rsidRPr="00000000">
              <w:rPr>
                <w:b w:val="1"/>
                <w:rtl w:val="0"/>
              </w:rPr>
              <w:t xml:space="preserve">x</w:t>
            </w:r>
          </w:p>
        </w:tc>
      </w:tr>
      <w:tr>
        <w:trPr>
          <w:cantSplit w:val="0"/>
          <w:tblHeader w:val="0"/>
        </w:trPr>
        <w:tc>
          <w:tcPr/>
          <w:p w:rsidR="00000000" w:rsidDel="00000000" w:rsidP="00000000" w:rsidRDefault="00000000" w:rsidRPr="00000000" w14:paraId="0000034B">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Τουρκία</w:t>
            </w:r>
          </w:p>
        </w:tc>
        <w:tc>
          <w:tcPr/>
          <w:p w:rsidR="00000000" w:rsidDel="00000000" w:rsidP="00000000" w:rsidRDefault="00000000" w:rsidRPr="00000000" w14:paraId="0000034C">
            <w:pPr>
              <w:jc w:val="center"/>
              <w:rPr>
                <w:b w:val="1"/>
              </w:rPr>
            </w:pPr>
            <w:r w:rsidDel="00000000" w:rsidR="00000000" w:rsidRPr="00000000">
              <w:rPr>
                <w:b w:val="1"/>
                <w:rtl w:val="0"/>
              </w:rPr>
              <w:t xml:space="preserve">x</w:t>
            </w:r>
          </w:p>
        </w:tc>
        <w:tc>
          <w:tcPr/>
          <w:p w:rsidR="00000000" w:rsidDel="00000000" w:rsidP="00000000" w:rsidRDefault="00000000" w:rsidRPr="00000000" w14:paraId="0000034D">
            <w:pPr>
              <w:jc w:val="center"/>
              <w:rPr>
                <w:b w:val="1"/>
              </w:rPr>
            </w:pPr>
            <w:r w:rsidDel="00000000" w:rsidR="00000000" w:rsidRPr="00000000">
              <w:rPr>
                <w:b w:val="1"/>
                <w:rtl w:val="0"/>
              </w:rPr>
              <w:t xml:space="preserve">x</w:t>
            </w:r>
          </w:p>
        </w:tc>
        <w:tc>
          <w:tcPr/>
          <w:p w:rsidR="00000000" w:rsidDel="00000000" w:rsidP="00000000" w:rsidRDefault="00000000" w:rsidRPr="00000000" w14:paraId="0000034E">
            <w:pPr>
              <w:jc w:val="center"/>
              <w:rPr>
                <w:b w:val="1"/>
              </w:rPr>
            </w:pPr>
            <w:r w:rsidDel="00000000" w:rsidR="00000000" w:rsidRPr="00000000">
              <w:rPr>
                <w:rtl w:val="0"/>
              </w:rPr>
            </w:r>
          </w:p>
        </w:tc>
        <w:tc>
          <w:tcPr/>
          <w:p w:rsidR="00000000" w:rsidDel="00000000" w:rsidP="00000000" w:rsidRDefault="00000000" w:rsidRPr="00000000" w14:paraId="0000034F">
            <w:pPr>
              <w:jc w:val="center"/>
              <w:rPr>
                <w:b w:val="1"/>
              </w:rPr>
            </w:pPr>
            <w:r w:rsidDel="00000000" w:rsidR="00000000" w:rsidRPr="00000000">
              <w:rPr>
                <w:b w:val="1"/>
                <w:rtl w:val="0"/>
              </w:rPr>
              <w:t xml:space="preserve">x</w:t>
            </w:r>
          </w:p>
        </w:tc>
        <w:tc>
          <w:tcPr/>
          <w:p w:rsidR="00000000" w:rsidDel="00000000" w:rsidP="00000000" w:rsidRDefault="00000000" w:rsidRPr="00000000" w14:paraId="00000350">
            <w:pPr>
              <w:jc w:val="center"/>
              <w:rPr>
                <w:b w:val="1"/>
              </w:rPr>
            </w:pPr>
            <w:r w:rsidDel="00000000" w:rsidR="00000000" w:rsidRPr="00000000">
              <w:rPr>
                <w:b w:val="1"/>
                <w:rtl w:val="0"/>
              </w:rPr>
              <w:t xml:space="preserve">x</w:t>
            </w:r>
          </w:p>
        </w:tc>
      </w:tr>
    </w:tbl>
    <w:p w:rsidR="00000000" w:rsidDel="00000000" w:rsidP="00000000" w:rsidRDefault="00000000" w:rsidRPr="00000000" w14:paraId="00000351">
      <w:pPr>
        <w:spacing w:after="12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Πηγή:</w:t>
      </w:r>
      <w:r w:rsidDel="00000000" w:rsidR="00000000" w:rsidRPr="00000000">
        <w:rPr>
          <w:rFonts w:ascii="Times New Roman" w:cs="Times New Roman" w:eastAsia="Times New Roman" w:hAnsi="Times New Roman"/>
          <w:sz w:val="20"/>
          <w:szCs w:val="20"/>
          <w:rtl w:val="0"/>
        </w:rPr>
        <w:t xml:space="preserve"> OECD (2021), A New Benchmark for Mental Health Systems (ιδία επεξεργασία).</w:t>
      </w:r>
    </w:p>
    <w:p w:rsidR="00000000" w:rsidDel="00000000" w:rsidP="00000000" w:rsidRDefault="00000000" w:rsidRPr="00000000" w14:paraId="00000352">
      <w:pPr>
        <w:ind w:firstLine="72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Αρκετές χώρες, όπως το Ηνωμένο Βασίλειο, η Ιρλανδία και η Νορβηγία, πρόκειται να ενσωματώσουν άμεσα την εκπαίδευση σχετικά με την ψυχική υγεία στο σχολικό πρόγραμμα, για τους μαθητές όλων των ηλικιακών ομάδων, ενώ άλλες χώρες, όπως η Δανία, η Ισλανδία και η Φινλανδία, έχει πραγματοποιηθεί εδώ και καιρό (OECD, 2021). Η Φινλανδία ξεχωρίζει ως μια χώρα του ΟΟΣΑ, που όχι μόνο έχει εφαρμόσει ένα σημαντικό πρόγραμμα βασισμένο σε στοιχεία για την υποστήριξη της κοινωνικο-συναισθηματικής ευεξίας των μαθητών στο σχολείο σε όλες τις ηλικιακές ομάδες, αλλά έχει θέσει την ψυχική υγεία ως βασικό στόχο του εκπαιδευτικού συστήματος. Η Φινλανδία διαθέτει ισχυρό νομικό πλαίσιο σχετικά με την υγεία και την πρόνοια των σχολείων, το οποίο περιλαμβάνει την ενσωμάτωση ομάδων επαγγελματιών υγείας και πρόνοιας στα σχολεία (Coburn, 2019). Η Ελλάδα, είναι μια από τις χώρες του ΟΟΣΑ που έχει υλοποιήσει και υλοποιεί τέτοιου είδους προγράμματα στα σχολεία, σε όλες τις εκπαιδευτικές βαθμίδες, χωρίς ωστόσο να αποτελούν μόνιμο στοιχείο του εκπαιδευτικού προγράμματος. </w:t>
      </w:r>
      <w:r w:rsidDel="00000000" w:rsidR="00000000" w:rsidRPr="00000000">
        <w:rPr>
          <w:rtl w:val="0"/>
        </w:rPr>
      </w:r>
    </w:p>
    <w:p w:rsidR="00000000" w:rsidDel="00000000" w:rsidP="00000000" w:rsidRDefault="00000000" w:rsidRPr="00000000" w14:paraId="00000353">
      <w:pPr>
        <w:pStyle w:val="Heading2"/>
        <w:jc w:val="center"/>
        <w:rPr>
          <w:rFonts w:ascii="Times New Roman" w:cs="Times New Roman" w:eastAsia="Times New Roman" w:hAnsi="Times New Roman"/>
          <w:i w:val="1"/>
          <w:color w:val="000000"/>
          <w:sz w:val="24"/>
          <w:szCs w:val="24"/>
        </w:rPr>
      </w:pPr>
      <w:bookmarkStart w:colFirst="0" w:colLast="0" w:name="_heading=h.nmf14n" w:id="47"/>
      <w:bookmarkEnd w:id="47"/>
      <w:r w:rsidDel="00000000" w:rsidR="00000000" w:rsidRPr="00000000">
        <w:rPr>
          <w:rFonts w:ascii="Times New Roman" w:cs="Times New Roman" w:eastAsia="Times New Roman" w:hAnsi="Times New Roman"/>
          <w:i w:val="1"/>
          <w:color w:val="000000"/>
          <w:sz w:val="24"/>
          <w:szCs w:val="24"/>
          <w:rtl w:val="0"/>
        </w:rPr>
        <w:t xml:space="preserve">4.4.2. Προγράμματα αλφαβητισμού στην ψυχική υγεία &amp; πρόληψη αυτοκτονιών</w:t>
      </w:r>
    </w:p>
    <w:p w:rsidR="00000000" w:rsidDel="00000000" w:rsidP="00000000" w:rsidRDefault="00000000" w:rsidRPr="00000000" w14:paraId="00000354">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Κάποιες από τις χώρες του ΟΟΣΑ, υλοποιούν εθνικά ή/και περιφερειακά ή τοπικά προγράμματα, που επικεντρώνονται στον αλφαβητισμό του πληθυσμού σχετικά με  την ψυχική υγεία ή τις ψυχικές διαταραχές (Πίνακας 4.6). Για παράδειγμα στην Ιαπωνία και στη Λετονία, τα προγράμματα που υλοποιούνται αφορούν στην ευαισθητοποίηση του γενικού πληθυσμού για θέματα που αφορούν στην ψυχική υγεία (OECD, 2021).</w:t>
      </w:r>
    </w:p>
    <w:p w:rsidR="00000000" w:rsidDel="00000000" w:rsidP="00000000" w:rsidRDefault="00000000" w:rsidRPr="00000000" w14:paraId="00000355">
      <w:pPr>
        <w:spacing w:after="120" w:line="24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Πίνακας 4.6. </w:t>
      </w:r>
      <w:r w:rsidDel="00000000" w:rsidR="00000000" w:rsidRPr="00000000">
        <w:rPr>
          <w:rFonts w:ascii="Times New Roman" w:cs="Times New Roman" w:eastAsia="Times New Roman" w:hAnsi="Times New Roman"/>
          <w:sz w:val="24"/>
          <w:szCs w:val="24"/>
          <w:rtl w:val="0"/>
        </w:rPr>
        <w:t xml:space="preserve">Εθνικά προγράμματα για το γραμματισμό του γενικού πληθυσμού σε θέματα ψυχικής υγείας/ψυχικής ασθένειας</w:t>
      </w:r>
      <w:r w:rsidDel="00000000" w:rsidR="00000000" w:rsidRPr="00000000">
        <w:rPr>
          <w:rtl w:val="0"/>
        </w:rPr>
      </w:r>
    </w:p>
    <w:tbl>
      <w:tblPr>
        <w:tblStyle w:val="Table14"/>
        <w:tblW w:w="7586.0" w:type="dxa"/>
        <w:jc w:val="left"/>
        <w:tblInd w:w="0.0" w:type="dxa"/>
        <w:tblBorders>
          <w:top w:color="000000" w:space="0" w:sz="0" w:val="nil"/>
          <w:left w:color="000000" w:space="0" w:sz="0" w:val="nil"/>
          <w:bottom w:color="000000" w:space="0" w:sz="0" w:val="nil"/>
          <w:right w:color="000000" w:space="0" w:sz="0" w:val="nil"/>
          <w:insideH w:color="000000" w:space="0" w:sz="4" w:val="single"/>
          <w:insideV w:color="000000" w:space="0" w:sz="4" w:val="single"/>
        </w:tblBorders>
        <w:tblLayout w:type="fixed"/>
        <w:tblLook w:val="0400"/>
      </w:tblPr>
      <w:tblGrid>
        <w:gridCol w:w="2528"/>
        <w:gridCol w:w="5058"/>
        <w:tblGridChange w:id="0">
          <w:tblGrid>
            <w:gridCol w:w="2528"/>
            <w:gridCol w:w="5058"/>
          </w:tblGrid>
        </w:tblGridChange>
      </w:tblGrid>
      <w:tr>
        <w:trPr>
          <w:cantSplit w:val="0"/>
          <w:tblHeader w:val="0"/>
        </w:trPr>
        <w:tc>
          <w:tcPr>
            <w:gridSpan w:val="2"/>
          </w:tcPr>
          <w:p w:rsidR="00000000" w:rsidDel="00000000" w:rsidP="00000000" w:rsidRDefault="00000000" w:rsidRPr="00000000" w14:paraId="00000356">
            <w:pPr>
              <w:spacing w:after="12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Χώρες με τουλάχιστον ένα εθνικό πρόγραμμα</w:t>
            </w:r>
          </w:p>
        </w:tc>
      </w:tr>
      <w:tr>
        <w:trPr>
          <w:cantSplit w:val="0"/>
          <w:tblHeader w:val="0"/>
        </w:trPr>
        <w:tc>
          <w:tcPr/>
          <w:p w:rsidR="00000000" w:rsidDel="00000000" w:rsidP="00000000" w:rsidRDefault="00000000" w:rsidRPr="00000000" w14:paraId="00000358">
            <w:pPr>
              <w:spacing w:after="12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Εθνικό πρόγραμμα για τον  αλφαβητισμό του γενικού πληθυσμού στην ψυχική υγεία</w:t>
            </w:r>
          </w:p>
        </w:tc>
        <w:tc>
          <w:tcPr/>
          <w:p w:rsidR="00000000" w:rsidDel="00000000" w:rsidP="00000000" w:rsidRDefault="00000000" w:rsidRPr="00000000" w14:paraId="00000359">
            <w:pPr>
              <w:spacing w:after="12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Αυστραλία, Καναδάς, Τσεχία, Αγγλία, Ισλανδία, Ιρλανδία, Ιταλία, Νέα Ζηλανδία, Ολλανδία, Πολωνία, Σλοβενία, Ελβετία</w:t>
            </w:r>
          </w:p>
        </w:tc>
      </w:tr>
      <w:tr>
        <w:trPr>
          <w:cantSplit w:val="0"/>
          <w:tblHeader w:val="0"/>
        </w:trPr>
        <w:tc>
          <w:tcPr/>
          <w:p w:rsidR="00000000" w:rsidDel="00000000" w:rsidP="00000000" w:rsidRDefault="00000000" w:rsidRPr="00000000" w14:paraId="0000035A">
            <w:pPr>
              <w:spacing w:after="12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Περιφερειακή ή τοπική εκστρατεία για τον αλφαβητισμό της ψυχικής υγείας</w:t>
            </w:r>
          </w:p>
        </w:tc>
        <w:tc>
          <w:tcPr/>
          <w:p w:rsidR="00000000" w:rsidDel="00000000" w:rsidP="00000000" w:rsidRDefault="00000000" w:rsidRPr="00000000" w14:paraId="0000035B">
            <w:pPr>
              <w:spacing w:after="12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Βέλγιο, Ιαπωνία, Κορέα, Λιθουανία, Ελβετία</w:t>
            </w:r>
          </w:p>
        </w:tc>
      </w:tr>
    </w:tbl>
    <w:p w:rsidR="00000000" w:rsidDel="00000000" w:rsidP="00000000" w:rsidRDefault="00000000" w:rsidRPr="00000000" w14:paraId="0000035C">
      <w:pPr>
        <w:rPr/>
      </w:pPr>
      <w:r w:rsidDel="00000000" w:rsidR="00000000" w:rsidRPr="00000000">
        <w:rPr>
          <w:rtl w:val="0"/>
        </w:rPr>
      </w:r>
    </w:p>
    <w:p w:rsidR="00000000" w:rsidDel="00000000" w:rsidP="00000000" w:rsidRDefault="00000000" w:rsidRPr="00000000" w14:paraId="0000035D">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Οι εκδηλώσεις και οι δραστηριότητες γύρω που υλοποιούνται στο πλαίσιο της  Παγκόσμιας Ημέρας Ψυχικής Υγείας, φαίνεται να αποτελούν βασικό μέρος των δράσεων των περισσότερων χωρών, να αυξήσουν τον αλφαβητισμό στην ψυχική υγεία και να αντιμετωπίσουν το στίγμα γύρω από την ψυχική υγεία. Για παράδειγμα στη Νορβηγία, οι ΜΚΟ διοργανώνουν εκστρατείες ενημέρωσης και ευαισθητοποίησης για την Παγκόσμια Ημέρα Ψυχικής Υγείας κάθε χρόνο, ενώ στην Τουρκία έχει καθιερωθεί η 10</w:t>
      </w:r>
      <w:r w:rsidDel="00000000" w:rsidR="00000000" w:rsidRPr="00000000">
        <w:rPr>
          <w:rFonts w:ascii="Times New Roman" w:cs="Times New Roman" w:eastAsia="Times New Roman" w:hAnsi="Times New Roman"/>
          <w:sz w:val="24"/>
          <w:szCs w:val="24"/>
          <w:vertAlign w:val="superscript"/>
          <w:rtl w:val="0"/>
        </w:rPr>
        <w:t xml:space="preserve">η</w:t>
      </w:r>
      <w:r w:rsidDel="00000000" w:rsidR="00000000" w:rsidRPr="00000000">
        <w:rPr>
          <w:rFonts w:ascii="Times New Roman" w:cs="Times New Roman" w:eastAsia="Times New Roman" w:hAnsi="Times New Roman"/>
          <w:sz w:val="24"/>
          <w:szCs w:val="24"/>
          <w:rtl w:val="0"/>
        </w:rPr>
        <w:t xml:space="preserve"> Σεπτεμβρίου ως Ημέρα Πρόληψης της Αυτοκτονίας και οργανώνονται σεμινάρια ευαισθητοποίησης του κοινού και συνέδρια για την καταπολέμηση στίγματος (ΟΟΣΑ, 2021). Στη χώρα μας δεν υπάρχει ένα εθνικό πρόγραμμα, αλλά υλοποιούνται δράσεις στο πλαίσιο της Παγκόσμιας Ημέρας Ψυχικής Υγείας, με θεματικές οι οποίες διαφοροποιούνται κάθε έτος. </w:t>
      </w:r>
    </w:p>
    <w:p w:rsidR="00000000" w:rsidDel="00000000" w:rsidP="00000000" w:rsidRDefault="00000000" w:rsidRPr="00000000" w14:paraId="0000035E">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Σε ό,τι αφορά στις αυτοκτονίες, το ποσοστό θανάτων ποικίλλει μεταξύ των χωρών του ΟΟΣΑ σε σημαντικό βαθμό, με τα χαμηλότερα ποσοστά να εμφανίζονται στην Τουρκία (2,6 ανά 100.000 άτομα) και την Ελλάδα (4 ανά 100.000άτομα), ενώ τα υψηλότερα ποσοστά στη Λιθουανία (22,2 ανά 100.000 άτομα) και στην Κορέα (23,0 ανά 100 000 άτομα) (Γράφημα 4.9).</w:t>
      </w:r>
    </w:p>
    <w:p w:rsidR="00000000" w:rsidDel="00000000" w:rsidP="00000000" w:rsidRDefault="00000000" w:rsidRPr="00000000" w14:paraId="0000035F">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Γράφημα 4.9. </w:t>
      </w:r>
      <w:r w:rsidDel="00000000" w:rsidR="00000000" w:rsidRPr="00000000">
        <w:rPr>
          <w:rFonts w:ascii="Times New Roman" w:cs="Times New Roman" w:eastAsia="Times New Roman" w:hAnsi="Times New Roman"/>
          <w:sz w:val="24"/>
          <w:szCs w:val="24"/>
          <w:rtl w:val="0"/>
        </w:rPr>
        <w:t xml:space="preserve">Θάνατοι από αυτοκτονία (2018 ή πιο πρόσφατα)</w:t>
      </w:r>
      <w:r w:rsidDel="00000000" w:rsidR="00000000" w:rsidRPr="00000000">
        <w:rPr>
          <w:rFonts w:ascii="Times New Roman" w:cs="Times New Roman" w:eastAsia="Times New Roman" w:hAnsi="Times New Roman"/>
          <w:sz w:val="24"/>
          <w:szCs w:val="24"/>
        </w:rPr>
        <w:drawing>
          <wp:inline distB="0" distT="0" distL="0" distR="0">
            <wp:extent cx="4679950" cy="5619750"/>
            <wp:docPr id="49" name=""/>
            <a:graphic>
              <a:graphicData uri="http://schemas.openxmlformats.org/drawingml/2006/chart">
                <c:chart r:id="rId25"/>
              </a:graphicData>
            </a:graphic>
          </wp:inline>
        </w:drawing>
      </w:r>
      <w:r w:rsidDel="00000000" w:rsidR="00000000" w:rsidRPr="00000000">
        <w:rPr>
          <w:rtl w:val="0"/>
        </w:rPr>
      </w:r>
    </w:p>
    <w:p w:rsidR="00000000" w:rsidDel="00000000" w:rsidP="00000000" w:rsidRDefault="00000000" w:rsidRPr="00000000" w14:paraId="00000360">
      <w:pPr>
        <w:rPr>
          <w:rFonts w:ascii="Times New Roman" w:cs="Times New Roman" w:eastAsia="Times New Roman" w:hAnsi="Times New Roman"/>
          <w:b w:val="1"/>
          <w:sz w:val="16"/>
          <w:szCs w:val="16"/>
        </w:rPr>
      </w:pPr>
      <w:r w:rsidDel="00000000" w:rsidR="00000000" w:rsidRPr="00000000">
        <w:rPr>
          <w:rFonts w:ascii="Times New Roman" w:cs="Times New Roman" w:eastAsia="Times New Roman" w:hAnsi="Times New Roman"/>
          <w:b w:val="1"/>
          <w:color w:val="000000"/>
          <w:sz w:val="16"/>
          <w:szCs w:val="16"/>
          <w:rtl w:val="0"/>
        </w:rPr>
        <w:t xml:space="preserve">Πηγή:</w:t>
      </w:r>
      <w:r w:rsidDel="00000000" w:rsidR="00000000" w:rsidRPr="00000000">
        <w:rPr>
          <w:rFonts w:ascii="Times New Roman" w:cs="Times New Roman" w:eastAsia="Times New Roman" w:hAnsi="Times New Roman"/>
          <w:color w:val="000000"/>
          <w:sz w:val="16"/>
          <w:szCs w:val="16"/>
          <w:rtl w:val="0"/>
        </w:rPr>
        <w:t xml:space="preserve"> OECD (2020α), OECD Health Statistics, </w:t>
      </w:r>
      <w:r w:rsidDel="00000000" w:rsidR="00000000" w:rsidRPr="00000000">
        <w:rPr>
          <w:rFonts w:ascii="Times New Roman" w:cs="Times New Roman" w:eastAsia="Times New Roman" w:hAnsi="Times New Roman"/>
          <w:color w:val="0000ff"/>
          <w:sz w:val="16"/>
          <w:szCs w:val="16"/>
          <w:rtl w:val="0"/>
        </w:rPr>
        <w:t xml:space="preserve">https://doi.org/10.1787/health-data-en</w:t>
      </w:r>
      <w:r w:rsidDel="00000000" w:rsidR="00000000" w:rsidRPr="00000000">
        <w:rPr>
          <w:rFonts w:ascii="Times New Roman" w:cs="Times New Roman" w:eastAsia="Times New Roman" w:hAnsi="Times New Roman"/>
          <w:color w:val="000000"/>
          <w:sz w:val="16"/>
          <w:szCs w:val="16"/>
          <w:rtl w:val="0"/>
        </w:rPr>
        <w:t xml:space="preserve">.</w:t>
      </w:r>
      <w:r w:rsidDel="00000000" w:rsidR="00000000" w:rsidRPr="00000000">
        <w:rPr>
          <w:rtl w:val="0"/>
        </w:rPr>
      </w:r>
    </w:p>
    <w:p w:rsidR="00000000" w:rsidDel="00000000" w:rsidP="00000000" w:rsidRDefault="00000000" w:rsidRPr="00000000" w14:paraId="00000361">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Οι θάνατοι από αυτοκτονίες στις χώρες του ΟΟΣΑ έχουν μειωθεί σε γενικό βαθμό τις τελευταίες δεκαετίες. Μεταξύ του 1997 και του 2017, το ποσοστό θανάτου από αυτοκτονία ανά 100.000 άτομα, μειώθηκε ή παρέμεινε σταθερό σε όλες εκτός από την Κορέα, την Ολλανδία, την Ελλάδα, τις Ηνωμένες Πολιτείες, τη Χιλή και το Μεξικό. Σε λίγες χώρες, τα ποσοστά αυτοκτονιών έχουν παραμείνει αρκετά χαμηλά για δύο ή περισσότερες δεκαετίες, συμπεριλαμβανομένων του Ισραήλ, της Ιταλίας και της Ισπανίας. Στην Ελλάδα, όπου το ποσοστό αυτοκτονιών είναι χαμηλό σε σύγκριση με τον μέσο όρο του ΟΟΣΑ, 4 θάνατοι έναντι 11,1 ανά 100.000 άτομα, το ποσοστό αυτοκτονιών αυξήθηκε από το 2011 και μετά, πιθανώς εν μέρει λόγω της παρατεταμένης οικονομικής κρίσης που αντιμετώπισε η χώρα μας (van Gool &amp; Pearson, 2014).</w:t>
      </w:r>
    </w:p>
    <w:p w:rsidR="00000000" w:rsidDel="00000000" w:rsidP="00000000" w:rsidRDefault="00000000" w:rsidRPr="00000000" w14:paraId="00000362">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Στις περισσότερες χώρες του ΟΟΣΑ έχουν δημιουργηθεί εδώ και χρόνια σχέδια πρόληψης των αυτοκτονιών, είτε ως αυτόνομες στρατηγικές, είτε ως βασικό μέρος της κεντρικής πολιτικής για την ψυχική υγεία (Hewlett &amp; Moran, 2014). Πολλές χώρες του ΟΟΣΑ, έχουν είτε σχέδια πρόληψης αυτοκτονιών, είτε επικεντρώνονται στην πρόληψη της αυτοκτονίας στο στρατηγικό σχεδιασμό της ψυχικής υγείας. Τα σχέδια αυτά, εστιάζουν κατά κύριο λόγο σε ομάδες με αυξημένο ρίσκο ή σε ευάλωτους πληθυσμούς, όπως συμβαίνει  στη Φινλανδία και στη Νέα Ζηλανδία. Στη χώρα μας, δεν υπάρχει κάποιο συγκεκριμένο σχέδιο ή μια συγκεκριμένη πολιτική, πιθανόν λόγω των πολύ χαμηλών ποσοστών των αυτοκτονιών. </w:t>
      </w:r>
    </w:p>
    <w:p w:rsidR="00000000" w:rsidDel="00000000" w:rsidP="00000000" w:rsidRDefault="00000000" w:rsidRPr="00000000" w14:paraId="00000363">
      <w:pPr>
        <w:pStyle w:val="Heading2"/>
        <w:jc w:val="center"/>
        <w:rPr>
          <w:rFonts w:ascii="Times New Roman" w:cs="Times New Roman" w:eastAsia="Times New Roman" w:hAnsi="Times New Roman"/>
          <w:i w:val="1"/>
          <w:color w:val="000000"/>
          <w:sz w:val="24"/>
          <w:szCs w:val="24"/>
        </w:rPr>
      </w:pPr>
      <w:bookmarkStart w:colFirst="0" w:colLast="0" w:name="_heading=h.37m2jsg" w:id="48"/>
      <w:bookmarkEnd w:id="48"/>
      <w:r w:rsidDel="00000000" w:rsidR="00000000" w:rsidRPr="00000000">
        <w:rPr>
          <w:rFonts w:ascii="Times New Roman" w:cs="Times New Roman" w:eastAsia="Times New Roman" w:hAnsi="Times New Roman"/>
          <w:i w:val="1"/>
          <w:color w:val="000000"/>
          <w:sz w:val="24"/>
          <w:szCs w:val="24"/>
          <w:rtl w:val="0"/>
        </w:rPr>
        <w:t xml:space="preserve">4.4.3.Πρόληψη στους χώρους εργασίας</w:t>
      </w:r>
    </w:p>
    <w:p w:rsidR="00000000" w:rsidDel="00000000" w:rsidP="00000000" w:rsidRDefault="00000000" w:rsidRPr="00000000" w14:paraId="00000364">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Προκειμένου να μπορούν οι άνθρωποι να εργάζονται και να παραμένουν στην εργασία τους, θα πρέπει να διασφαλίζεται ότι  οι χώροι εργασίας δεν αποτελούν απειλή για την ευημερία των εργαζομένων, ενώ ταυτόχρονα συμβάλλουν στη βελτίωση της ψυχικής υγείας. Η σημασία της εφαρμογής κατάλληλων πολιτικών για την προαγωγή της ψυχικής υγείας στο χώρο εργασίας, υπογραμμίζεται στη Σύσταση του ΟΟΣΑ για την Ολοκληρωμένη Ψυχική Υγεία, τις Δεξιότητες και την Εργασιακή Πολιτική, η οποία απαιτεί συγκεκριμένα από τις χώρες του ΟΟΣΑ που είναι όλες υποστηρικτές της Σύστασης, να «</w:t>
      </w:r>
      <w:r w:rsidDel="00000000" w:rsidR="00000000" w:rsidRPr="00000000">
        <w:rPr>
          <w:rFonts w:ascii="Times New Roman" w:cs="Times New Roman" w:eastAsia="Times New Roman" w:hAnsi="Times New Roman"/>
          <w:i w:val="1"/>
          <w:sz w:val="24"/>
          <w:szCs w:val="24"/>
          <w:rtl w:val="0"/>
        </w:rPr>
        <w:t xml:space="preserve">προωθούν και να επιβάλλουν την αξιολόγηση των ψυχοκοινωνικών κινδύνων στο χώρο εργασίας</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να αναπτύξουν μια στρατηγική για την αντιμετώπιση του στίγματος, των διακρίσεων και των παρανοήσεων που αντιμετωπίζουν πολλοί εργαζόμενοι που ζουν με προβλήματα ψυχικής υγείας στο χώρο εργασίας τους</w:t>
      </w:r>
      <w:r w:rsidDel="00000000" w:rsidR="00000000" w:rsidRPr="00000000">
        <w:rPr>
          <w:rFonts w:ascii="Times New Roman" w:cs="Times New Roman" w:eastAsia="Times New Roman" w:hAnsi="Times New Roman"/>
          <w:sz w:val="24"/>
          <w:szCs w:val="24"/>
          <w:rtl w:val="0"/>
        </w:rPr>
        <w:t xml:space="preserve">» και «… </w:t>
      </w:r>
      <w:r w:rsidDel="00000000" w:rsidR="00000000" w:rsidRPr="00000000">
        <w:rPr>
          <w:rFonts w:ascii="Times New Roman" w:cs="Times New Roman" w:eastAsia="Times New Roman" w:hAnsi="Times New Roman"/>
          <w:i w:val="1"/>
          <w:sz w:val="24"/>
          <w:szCs w:val="24"/>
          <w:rtl w:val="0"/>
        </w:rPr>
        <w:t xml:space="preserve">να ενισχύσουν την ανταπόκριση στις συνθήκες ψυχικής υγείας των εργαζομένων</w:t>
      </w:r>
      <w:r w:rsidDel="00000000" w:rsidR="00000000" w:rsidRPr="00000000">
        <w:rPr>
          <w:rFonts w:ascii="Times New Roman" w:cs="Times New Roman" w:eastAsia="Times New Roman" w:hAnsi="Times New Roman"/>
          <w:sz w:val="24"/>
          <w:szCs w:val="24"/>
          <w:rtl w:val="0"/>
        </w:rPr>
        <w:t xml:space="preserve">» (OECD, 2015). Οι χώρες του ΟΟΣΑ χρησιμοποιούν τη νομοθεσία για την ασφάλεια στο χώρο εργασίας για να συμπεριλάβουν διατάξεις για την προστασία της ψυχικής υγείας των εργαζομένων. Πολλές χώρες, όπως η είναι Αυστρία, το Βέλγιο, η Φινλανδία, η Γαλλία, η Νορβηγία και η Ολλανδία, χρησιμοποιούν την εργατική νομοθεσία για να απαιτήσουν από τους εργοδότες να μειώσουν τους ψυχοκοινωνικούς κινδύνους στο χώρο εργασίας (OECD/European Union, 2020). Αρκετές χώρες, συμπεριλαμβανομένου του Καναδά και της Ιαπωνίας, έκαναν πρόσφατα τροποποιήσεις στην εργασιακή νομοθεσία, καθιστώντας σαφές το γεγονός ό,τι οι εργοδότες έχουν ευθύνη για την ψυχική υγεία και τη σωματική ασφάλεια των εργαζομένων τους, στον χώρο εργασίας (OECD, 2021). </w:t>
      </w:r>
    </w:p>
    <w:p w:rsidR="00000000" w:rsidDel="00000000" w:rsidP="00000000" w:rsidRDefault="00000000" w:rsidRPr="00000000" w14:paraId="00000365">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Στη δράση της Ευρωπαϊκής Ένωσης «</w:t>
      </w:r>
      <w:r w:rsidDel="00000000" w:rsidR="00000000" w:rsidRPr="00000000">
        <w:rPr>
          <w:rFonts w:ascii="Times New Roman" w:cs="Times New Roman" w:eastAsia="Times New Roman" w:hAnsi="Times New Roman"/>
          <w:i w:val="1"/>
          <w:sz w:val="24"/>
          <w:szCs w:val="24"/>
          <w:rtl w:val="0"/>
        </w:rPr>
        <w:t xml:space="preserve">Compass for Action on Mental Health and Wellness</w:t>
      </w:r>
      <w:r w:rsidDel="00000000" w:rsidR="00000000" w:rsidRPr="00000000">
        <w:rPr>
          <w:rFonts w:ascii="Times New Roman" w:cs="Times New Roman" w:eastAsia="Times New Roman" w:hAnsi="Times New Roman"/>
          <w:sz w:val="24"/>
          <w:szCs w:val="24"/>
          <w:rtl w:val="0"/>
        </w:rPr>
        <w:t xml:space="preserve">» το 2017, το επίκεντρο ήταν η ψυχική υγεία στο σχολείο και στην εργασία. Το 70% των κρατών μελών της Ε.Ε, ανέφεραν ότι η προάσπιση και προστασία της ψυχικής υγείας στο χώρο εργασίας, αποτελεί προτεραιότητα στις πολιτικές ή τις στρατηγικές και περισσότερες από τις μισές χώρες είχαν δημιουργήσει συγκεκριμένα προγράμματα ή πολιτικές για την ψυχικής υγεία στον χώρο εργασίας (EU Compass for Action on Mental Health and Wellness, 2017). Η αξιολόγηση του ψυχοκοινωνικού κινδύνου, είναι ένα εργαλείο που υπάρχει σε λίγες χώρες, συμπεριλαμβανομένης της Ιαπωνίας, η οποία έχει υποχρεωτικό έλεγχο για το άγχος των εργαζομένων, μία φορά το χρόνο (OECD, 2019b). Το Στο Ηνωμένο Βασίλειο σε συνεργασία με διαφόρους φορείς. όπως η Ένωση Εργοδοτών, εισήγαγε ένα σύνολο «</w:t>
      </w:r>
      <w:r w:rsidDel="00000000" w:rsidR="00000000" w:rsidRPr="00000000">
        <w:rPr>
          <w:rFonts w:ascii="Times New Roman" w:cs="Times New Roman" w:eastAsia="Times New Roman" w:hAnsi="Times New Roman"/>
          <w:i w:val="1"/>
          <w:sz w:val="24"/>
          <w:szCs w:val="24"/>
          <w:rtl w:val="0"/>
        </w:rPr>
        <w:t xml:space="preserve">Βασικών Προτύπων</w:t>
      </w:r>
      <w:r w:rsidDel="00000000" w:rsidR="00000000" w:rsidRPr="00000000">
        <w:rPr>
          <w:rFonts w:ascii="Times New Roman" w:cs="Times New Roman" w:eastAsia="Times New Roman" w:hAnsi="Times New Roman"/>
          <w:sz w:val="24"/>
          <w:szCs w:val="24"/>
          <w:rtl w:val="0"/>
        </w:rPr>
        <w:t xml:space="preserve">» ή «</w:t>
      </w:r>
      <w:r w:rsidDel="00000000" w:rsidR="00000000" w:rsidRPr="00000000">
        <w:rPr>
          <w:rFonts w:ascii="Times New Roman" w:cs="Times New Roman" w:eastAsia="Times New Roman" w:hAnsi="Times New Roman"/>
          <w:i w:val="1"/>
          <w:sz w:val="24"/>
          <w:szCs w:val="24"/>
          <w:rtl w:val="0"/>
        </w:rPr>
        <w:t xml:space="preserve">Προτύπων Διαχείρισης</w:t>
      </w:r>
      <w:r w:rsidDel="00000000" w:rsidR="00000000" w:rsidRPr="00000000">
        <w:rPr>
          <w:rFonts w:ascii="Times New Roman" w:cs="Times New Roman" w:eastAsia="Times New Roman" w:hAnsi="Times New Roman"/>
          <w:sz w:val="24"/>
          <w:szCs w:val="24"/>
          <w:rtl w:val="0"/>
        </w:rPr>
        <w:t xml:space="preserve">» για τους εργοδότες.</w:t>
      </w:r>
    </w:p>
    <w:p w:rsidR="00000000" w:rsidDel="00000000" w:rsidP="00000000" w:rsidRDefault="00000000" w:rsidRPr="00000000" w14:paraId="00000366">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Ορισμένες χώρες έχουν προγράμματα για τη μείωση του στίγματος της ψυχικής υγείας ή/και τη βελτίωση του αλφαβητισμού για την ψυχική υγεία στους χώρους εργασίας, ορισμένα από τα οποία βασίζονται σε γενικές εκστρατείες ευαισθητοποίησης και άλλα στην εκπαίδευση των εργαζομένων ή των εργοδοτών. Η Αυστραλία για παράδειγμα, έχει λάβει μέτρα για την δημιουργία ψυχικά υγιών χώρων εργασίας μέσω της Συμμαχίας για Ψυχικά Υγιείς Χώρους Εργασίας η οποία ιδρύθηκε από την Εθνική Επιτροπή Ψυχικής Υγείας (TMHWA, 2018; National Mental Health Commission, 2021).</w:t>
      </w:r>
    </w:p>
    <w:p w:rsidR="00000000" w:rsidDel="00000000" w:rsidP="00000000" w:rsidRDefault="00000000" w:rsidRPr="00000000" w14:paraId="00000367">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Στη χώρα μας, αναφέρεται στην εργατική νομοθεσία η προστασία της ψυχικής υγείας στον χώρο εργασίας. Παρά ταύτα, δεν έχει υπάρξει κάποιο συγκεκριμένο εθνικό πρόγραμμα για την πρόληψη και την προαγωγή της ψυχικής υγείας στους χώρους εργασίας, ούτε συγκεκριμένο νομοθετικό πλαίσιο για την ψυχική υγεία στην εργασία. </w:t>
      </w:r>
    </w:p>
    <w:p w:rsidR="00000000" w:rsidDel="00000000" w:rsidP="00000000" w:rsidRDefault="00000000" w:rsidRPr="00000000" w14:paraId="00000368">
      <w:pPr>
        <w:pStyle w:val="Heading2"/>
        <w:jc w:val="center"/>
        <w:rPr>
          <w:rFonts w:ascii="Times New Roman" w:cs="Times New Roman" w:eastAsia="Times New Roman" w:hAnsi="Times New Roman"/>
          <w:i w:val="1"/>
          <w:color w:val="000000"/>
          <w:sz w:val="24"/>
          <w:szCs w:val="24"/>
        </w:rPr>
      </w:pPr>
      <w:bookmarkStart w:colFirst="0" w:colLast="0" w:name="_heading=h.1mrcu09" w:id="49"/>
      <w:bookmarkEnd w:id="49"/>
      <w:r w:rsidDel="00000000" w:rsidR="00000000" w:rsidRPr="00000000">
        <w:rPr>
          <w:rFonts w:ascii="Times New Roman" w:cs="Times New Roman" w:eastAsia="Times New Roman" w:hAnsi="Times New Roman"/>
          <w:i w:val="1"/>
          <w:color w:val="000000"/>
          <w:sz w:val="24"/>
          <w:szCs w:val="24"/>
          <w:rtl w:val="0"/>
        </w:rPr>
        <w:t xml:space="preserve">4.4.5.Δράσεις ενάντια στο στίγμα</w:t>
      </w:r>
    </w:p>
    <w:p w:rsidR="00000000" w:rsidDel="00000000" w:rsidP="00000000" w:rsidRDefault="00000000" w:rsidRPr="00000000" w14:paraId="00000369">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Πολλές χώρες του ΟΟΣΑ, έχουν υλοποιήσει εκστρατείες κατά του στίγματος γύρω από την ψυχική ασθένεια, είτε σε εθνικό είτε σε περιφερειακό επίπεδο (Πίνακας 4.7).</w:t>
      </w:r>
    </w:p>
    <w:p w:rsidR="00000000" w:rsidDel="00000000" w:rsidP="00000000" w:rsidRDefault="00000000" w:rsidRPr="00000000" w14:paraId="0000036A">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Πίνακας 4.7.</w:t>
      </w:r>
      <w:r w:rsidDel="00000000" w:rsidR="00000000" w:rsidRPr="00000000">
        <w:rPr>
          <w:rFonts w:ascii="Times New Roman" w:cs="Times New Roman" w:eastAsia="Times New Roman" w:hAnsi="Times New Roman"/>
          <w:sz w:val="24"/>
          <w:szCs w:val="24"/>
          <w:rtl w:val="0"/>
        </w:rPr>
        <w:t xml:space="preserve"> Δράσεις κατά του στίγματος της ψυχικής ασθένειας</w:t>
      </w:r>
    </w:p>
    <w:tbl>
      <w:tblPr>
        <w:tblStyle w:val="Table15"/>
        <w:tblW w:w="7586.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793"/>
        <w:gridCol w:w="3793"/>
        <w:tblGridChange w:id="0">
          <w:tblGrid>
            <w:gridCol w:w="3793"/>
            <w:gridCol w:w="3793"/>
          </w:tblGrid>
        </w:tblGridChange>
      </w:tblGrid>
      <w:tr>
        <w:trPr>
          <w:cantSplit w:val="0"/>
          <w:tblHeader w:val="0"/>
        </w:trPr>
        <w:tc>
          <w:tcPr/>
          <w:p w:rsidR="00000000" w:rsidDel="00000000" w:rsidP="00000000" w:rsidRDefault="00000000" w:rsidRPr="00000000" w14:paraId="0000036B">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Εθνικές εκστρατείες κατά του στίγματος για την ψυχική ασθένεια</w:t>
            </w:r>
          </w:p>
        </w:tc>
        <w:tc>
          <w:tcPr/>
          <w:p w:rsidR="00000000" w:rsidDel="00000000" w:rsidP="00000000" w:rsidRDefault="00000000" w:rsidRPr="00000000" w14:paraId="0000036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Αυστραλία, Καναδάς, Τσεχία, Δανία, Αγγλία, Εσθονία, Ιταλία, Ολλανδία, Νέα Ζηλανδία, Κορέα, Λετονία, Ελβετία, Τουρκία</w:t>
            </w:r>
          </w:p>
        </w:tc>
      </w:tr>
      <w:tr>
        <w:trPr>
          <w:cantSplit w:val="0"/>
          <w:tblHeader w:val="0"/>
        </w:trPr>
        <w:tc>
          <w:tcPr/>
          <w:p w:rsidR="00000000" w:rsidDel="00000000" w:rsidP="00000000" w:rsidRDefault="00000000" w:rsidRPr="00000000" w14:paraId="0000036D">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Περιφερειακές ή τοπικές εκστρατείες κατά του στίγματος για την ψυχική ασθένεια</w:t>
            </w:r>
          </w:p>
        </w:tc>
        <w:tc>
          <w:tcPr/>
          <w:p w:rsidR="00000000" w:rsidDel="00000000" w:rsidP="00000000" w:rsidRDefault="00000000" w:rsidRPr="00000000" w14:paraId="0000036E">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Αυστρία, Κορέα, Νορβηγία, Πορτογαλία, Σλοβενία, Ελβετία</w:t>
            </w:r>
          </w:p>
        </w:tc>
      </w:tr>
    </w:tbl>
    <w:p w:rsidR="00000000" w:rsidDel="00000000" w:rsidP="00000000" w:rsidRDefault="00000000" w:rsidRPr="00000000" w14:paraId="0000036F">
      <w:pPr>
        <w:spacing w:after="12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Πηγή:</w:t>
      </w:r>
      <w:r w:rsidDel="00000000" w:rsidR="00000000" w:rsidRPr="00000000">
        <w:rPr>
          <w:rFonts w:ascii="Times New Roman" w:cs="Times New Roman" w:eastAsia="Times New Roman" w:hAnsi="Times New Roman"/>
          <w:sz w:val="20"/>
          <w:szCs w:val="20"/>
          <w:rtl w:val="0"/>
        </w:rPr>
        <w:t xml:space="preserve"> OECD (2021), A New Benchmark for Mental Health Systems (ιδία επεξεργασία).</w:t>
      </w:r>
    </w:p>
    <w:p w:rsidR="00000000" w:rsidDel="00000000" w:rsidP="00000000" w:rsidRDefault="00000000" w:rsidRPr="00000000" w14:paraId="00000370">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Στην Αυστραλία για παράδειγμα, υλοποιήθηκε μια καμπάνια ευαισθητοποίησης του κοινού από την Εθνική Πρωτοβουλία για την Κατάθλιψη, Beyond Blue, για τη βελτίωση των γνώσεων και των στάσεων του γενικού πληθυσμού σχετικά με την κατάθλιψη, Η καμπάνια, περιελάμβανε ανάμεσα στα άλλα και τη δημιουργία έντυπου ενημερωτικού υλικού, τη δημιουργία ενός ιστότοπου με πληροφορίες και τηλεοπτικές διαφημίσεις. Στον Καναδά, η Επιτροπή Ψυχικής Υγείας έχει υλοποιήσει μια σειρά προγραμμάτων που σχετίζονται με τη μείωση του στίγματος και την αύξηση του αλφαβητισμού για την ψυχική υγεία, όπως είναι το «</w:t>
      </w:r>
      <w:r w:rsidDel="00000000" w:rsidR="00000000" w:rsidRPr="00000000">
        <w:rPr>
          <w:rFonts w:ascii="Times New Roman" w:cs="Times New Roman" w:eastAsia="Times New Roman" w:hAnsi="Times New Roman"/>
          <w:i w:val="1"/>
          <w:sz w:val="24"/>
          <w:szCs w:val="24"/>
          <w:rtl w:val="0"/>
        </w:rPr>
        <w:t xml:space="preserve">Opening Minds</w:t>
      </w:r>
      <w:r w:rsidDel="00000000" w:rsidR="00000000" w:rsidRPr="00000000">
        <w:rPr>
          <w:rFonts w:ascii="Times New Roman" w:cs="Times New Roman" w:eastAsia="Times New Roman" w:hAnsi="Times New Roman"/>
          <w:sz w:val="24"/>
          <w:szCs w:val="24"/>
          <w:rtl w:val="0"/>
        </w:rPr>
        <w:t xml:space="preserve">» και το «</w:t>
      </w:r>
      <w:r w:rsidDel="00000000" w:rsidR="00000000" w:rsidRPr="00000000">
        <w:rPr>
          <w:rFonts w:ascii="Times New Roman" w:cs="Times New Roman" w:eastAsia="Times New Roman" w:hAnsi="Times New Roman"/>
          <w:i w:val="1"/>
          <w:sz w:val="24"/>
          <w:szCs w:val="24"/>
          <w:rtl w:val="0"/>
        </w:rPr>
        <w:t xml:space="preserve">Mental Health First Aid</w:t>
      </w:r>
      <w:r w:rsidDel="00000000" w:rsidR="00000000" w:rsidRPr="00000000">
        <w:rPr>
          <w:rFonts w:ascii="Times New Roman" w:cs="Times New Roman" w:eastAsia="Times New Roman" w:hAnsi="Times New Roman"/>
          <w:sz w:val="24"/>
          <w:szCs w:val="24"/>
          <w:rtl w:val="0"/>
        </w:rPr>
        <w:t xml:space="preserve">». Επιπλέον, υλοποιούνται προγράμματα και από ιδιωτικούς φορείς σε εθνικό επίπεδο, όπως είναι το «</w:t>
      </w:r>
      <w:r w:rsidDel="00000000" w:rsidR="00000000" w:rsidRPr="00000000">
        <w:rPr>
          <w:rFonts w:ascii="Times New Roman" w:cs="Times New Roman" w:eastAsia="Times New Roman" w:hAnsi="Times New Roman"/>
          <w:i w:val="1"/>
          <w:sz w:val="24"/>
          <w:szCs w:val="24"/>
          <w:rtl w:val="0"/>
        </w:rPr>
        <w:t xml:space="preserve">Let’s Talk</w:t>
      </w:r>
      <w:r w:rsidDel="00000000" w:rsidR="00000000" w:rsidRPr="00000000">
        <w:rPr>
          <w:rFonts w:ascii="Times New Roman" w:cs="Times New Roman" w:eastAsia="Times New Roman" w:hAnsi="Times New Roman"/>
          <w:sz w:val="24"/>
          <w:szCs w:val="24"/>
          <w:rtl w:val="0"/>
        </w:rPr>
        <w:t xml:space="preserve">», που στοχεύει στη μείωση του στίγματος και στην αύξηση της ευαισθητοποίησης σε θέματα ψυχικής υγείας. Αρκετές χώρες έχουν εκστρατείες κατά του στίγματος που υλοποιούνται τοπικά από δημοτικές ή τοπικές αρχές. Ανάμεσα στις χώρες που υλοποιούν τέτοια προγράμματα ετησίως είναι και  η Δανία, από το 2010. Ενώ πολλές χώρες πραγματοποιούν εκστρατείες κατά του στίγματος σχετικά με την ψυχική υγεία εδώ και χρόνια ή και δεκαετίες, είναι αρκετά δύσκολο να αξιολογηθεί εάν οι στάσεις και το στίγμα γύρω από την ψυχική υγεία έχουν αλλάξει με την πάροδο του χρόνου. Για την παρακολούθηση των επιπέδων του στίγματος, κάποιες χώρες έχουν υλοποιήσει εθνικές έρευνες.  Στη χώρα μας, έχουν υλοποιηθεί επίσης προγράμματα ενάντια στο στίγμα, στο πλαίσιο Παγκόσμιων Ημερών για συγκεκριμένες ασθένειες. Δεν υπάρχει ωστόσο ένα εθνικό πρόγραμμα, ούτε συμπεριλαμβάνεται η αντιμετώπιση του στίγματος στην εθνική πολιτική. </w:t>
      </w:r>
    </w:p>
    <w:p w:rsidR="00000000" w:rsidDel="00000000" w:rsidP="00000000" w:rsidRDefault="00000000" w:rsidRPr="00000000" w14:paraId="00000371">
      <w:pPr>
        <w:pStyle w:val="Heading1"/>
        <w:jc w:val="center"/>
        <w:rPr>
          <w:rFonts w:ascii="Times New Roman" w:cs="Times New Roman" w:eastAsia="Times New Roman" w:hAnsi="Times New Roman"/>
          <w:color w:val="000000"/>
        </w:rPr>
      </w:pPr>
      <w:bookmarkStart w:colFirst="0" w:colLast="0" w:name="_heading=h.46r0co2" w:id="50"/>
      <w:bookmarkEnd w:id="50"/>
      <w:r w:rsidDel="00000000" w:rsidR="00000000" w:rsidRPr="00000000">
        <w:rPr>
          <w:rFonts w:ascii="Times New Roman" w:cs="Times New Roman" w:eastAsia="Times New Roman" w:hAnsi="Times New Roman"/>
          <w:color w:val="000000"/>
          <w:rtl w:val="0"/>
        </w:rPr>
        <w:t xml:space="preserve">4.5. Δαπάνες για την ψυχική υγεία</w:t>
      </w:r>
    </w:p>
    <w:p w:rsidR="00000000" w:rsidDel="00000000" w:rsidP="00000000" w:rsidRDefault="00000000" w:rsidRPr="00000000" w14:paraId="00000372">
      <w:pPr>
        <w:pStyle w:val="Heading2"/>
        <w:jc w:val="center"/>
        <w:rPr>
          <w:rFonts w:ascii="Times New Roman" w:cs="Times New Roman" w:eastAsia="Times New Roman" w:hAnsi="Times New Roman"/>
          <w:i w:val="1"/>
          <w:color w:val="000000"/>
          <w:sz w:val="24"/>
          <w:szCs w:val="24"/>
        </w:rPr>
      </w:pPr>
      <w:bookmarkStart w:colFirst="0" w:colLast="0" w:name="_heading=h.2lwamvv" w:id="51"/>
      <w:bookmarkEnd w:id="51"/>
      <w:r w:rsidDel="00000000" w:rsidR="00000000" w:rsidRPr="00000000">
        <w:rPr>
          <w:rFonts w:ascii="Times New Roman" w:cs="Times New Roman" w:eastAsia="Times New Roman" w:hAnsi="Times New Roman"/>
          <w:i w:val="1"/>
          <w:color w:val="000000"/>
          <w:sz w:val="24"/>
          <w:szCs w:val="24"/>
          <w:rtl w:val="0"/>
        </w:rPr>
        <w:t xml:space="preserve">4.5.1.Κατανομή του οικονομικού κόστους </w:t>
      </w:r>
    </w:p>
    <w:p w:rsidR="00000000" w:rsidDel="00000000" w:rsidP="00000000" w:rsidRDefault="00000000" w:rsidRPr="00000000" w14:paraId="00000373">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Το οικονομικό κόστος της ψυχικής ασθένειας κατανέμεται σε πολλούς τομείς, γεγονός που αποτελεί ένα περαιτέρω κίνητρο για μια ολοκληρωμένη, πολυτομεακή προσέγγιση της πολιτικής και των πρακτικών για την ψυχική υγεία. Το οικονομικό κόστος της ψυχικής ασθένειας, υπερβαίνει το 4% του ΑΕΠ σε πολλές ευρωπαϊκές χώρες (OECD, 2012; OECD/European Union, 2018). Ωστόσο, το μεγαλύτερο μέρος του οικονομικού κόστους της ψυχικής ασθένειας δεν οφείλεται στις άμεσες δαπάνες για την περίθαλψη ή τη θεραπεία. Το άμεσο κόστος εκτός του συστήματος υγείας, δηλαδή οι δαπάνες για τα προγράμματα κοινωνικής ασφάλισης, συμπεριλαμβανομένων των επιδομάτων αναρρωτικής άδειας μετ’ αποδοχών, των επιδομάτων αναπηρίας και των επιδομάτων ασφάλισης της ανεργίας και το έμμεσο κόστος που σχετίζεται με τη μειωμένη συμμετοχή στην αγορά εργασίας και την παραγωγικότητα είναι αρκετά σημαντικά. Στις ευρωπαϊκές χώρες το 2015, το κόστος της ψυχικής ασθένειας εκτός του τομέα της υγείας, αντιπροσώπευε περισσότερο από το ήμισυ του συνολικού οικονομικού κόστους και ανερχόταν σε 194 δισεκατομμύρια ευρώ. Στο κόστος αυτός, συμπεριλαμβάνονταν τα επιδόματα αναπηρίας που ανήλθαν σε 112 δισεκατομμύρια ευρώ, οι παροχές αναρρωτικής άδειας μετ' αποδοχών που ανήλθαν σε 28 δισεκατομμύρια ευρώ και τα επιδόματα ασφάλισης της ανεργίας που ανήλθαν σε 29 δισεκατομμύρια ευρώ (OECD/European Union, 2018). Το έμμεσο κόστος λόγω της μειωμένης απασχόλησης των ατόμων με προβλήματα ψυχικής υγείας και της μειωμένης παραγωγικότητας εξαιτίας των υψηλότερων απουσιών και των χαμηλότερων παραγωγικών δυνατοτήτων,  ανήλθε σε περισσότερα από 240 δισεκατομμύρια ευρώ, που αντιστοιχούσε στο 1,6% του ΑΕΠ (Γράφημα 4.10).</w:t>
      </w:r>
    </w:p>
    <w:p w:rsidR="00000000" w:rsidDel="00000000" w:rsidP="00000000" w:rsidRDefault="00000000" w:rsidRPr="00000000" w14:paraId="0000037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7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7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7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7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7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7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7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7C">
      <w:pPr>
        <w:spacing w:line="276"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Γράφημα 4.10. </w:t>
      </w:r>
      <w:r w:rsidDel="00000000" w:rsidR="00000000" w:rsidRPr="00000000">
        <w:rPr>
          <w:rFonts w:ascii="Times New Roman" w:cs="Times New Roman" w:eastAsia="Times New Roman" w:hAnsi="Times New Roman"/>
          <w:sz w:val="24"/>
          <w:szCs w:val="24"/>
          <w:rtl w:val="0"/>
        </w:rPr>
        <w:t xml:space="preserve">Εκτιμώμενο άμεσο και έμμεσο κόστος που σχετίζεται με προβλήματα ψυχικής υγείας σε όλες τις ευρωπαϊκές χώρες (ως ποσοστό του ΑΕΠ, για το έτος 2015 ή αργότερα)</w:t>
      </w:r>
      <w:r w:rsidDel="00000000" w:rsidR="00000000" w:rsidRPr="00000000">
        <w:rPr>
          <w:rtl w:val="0"/>
        </w:rPr>
      </w:r>
    </w:p>
    <w:p w:rsidR="00000000" w:rsidDel="00000000" w:rsidP="00000000" w:rsidRDefault="00000000" w:rsidRPr="00000000" w14:paraId="0000037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0" distT="0" distL="0" distR="0">
            <wp:extent cx="5060950" cy="6429375"/>
            <wp:docPr id="50" name=""/>
            <a:graphic>
              <a:graphicData uri="http://schemas.openxmlformats.org/drawingml/2006/chart">
                <c:chart r:id="rId26"/>
              </a:graphicData>
            </a:graphic>
          </wp:inline>
        </w:drawing>
      </w:r>
      <w:r w:rsidDel="00000000" w:rsidR="00000000" w:rsidRPr="00000000">
        <w:rPr>
          <w:rtl w:val="0"/>
        </w:rPr>
      </w:r>
    </w:p>
    <w:p w:rsidR="00000000" w:rsidDel="00000000" w:rsidP="00000000" w:rsidRDefault="00000000" w:rsidRPr="00000000" w14:paraId="0000037E">
      <w:pPr>
        <w:spacing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Σημείωση: </w:t>
      </w:r>
      <w:r w:rsidDel="00000000" w:rsidR="00000000" w:rsidRPr="00000000">
        <w:rPr>
          <w:rFonts w:ascii="Times New Roman" w:cs="Times New Roman" w:eastAsia="Times New Roman" w:hAnsi="Times New Roman"/>
          <w:sz w:val="20"/>
          <w:szCs w:val="20"/>
          <w:rtl w:val="0"/>
        </w:rPr>
        <w:t xml:space="preserve">Τα δεδομένα αφορούν το έτος 2015 ή αργότερα, σύμφωνα με τα τελευταία διαθέσιμα δεδομένα</w:t>
      </w:r>
    </w:p>
    <w:p w:rsidR="00000000" w:rsidDel="00000000" w:rsidP="00000000" w:rsidRDefault="00000000" w:rsidRPr="00000000" w14:paraId="0000037F">
      <w:pPr>
        <w:spacing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Πηγή:</w:t>
      </w:r>
      <w:r w:rsidDel="00000000" w:rsidR="00000000" w:rsidRPr="00000000">
        <w:rPr>
          <w:rFonts w:ascii="Times New Roman" w:cs="Times New Roman" w:eastAsia="Times New Roman" w:hAnsi="Times New Roman"/>
          <w:sz w:val="20"/>
          <w:szCs w:val="20"/>
          <w:rtl w:val="0"/>
        </w:rPr>
        <w:t xml:space="preserve"> OECD/European Union (2018), Health at a Glance: Europe 2018: State of Health in the EU Cycle, </w:t>
      </w:r>
      <w:hyperlink r:id="rId27">
        <w:r w:rsidDel="00000000" w:rsidR="00000000" w:rsidRPr="00000000">
          <w:rPr>
            <w:rFonts w:ascii="Times New Roman" w:cs="Times New Roman" w:eastAsia="Times New Roman" w:hAnsi="Times New Roman"/>
            <w:color w:val="0000ff"/>
            <w:sz w:val="20"/>
            <w:szCs w:val="20"/>
            <w:u w:val="single"/>
            <w:rtl w:val="0"/>
          </w:rPr>
          <w:t xml:space="preserve">https://doi.org/10.1787/health_glance_eur-2018-en</w:t>
        </w:r>
      </w:hyperlink>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380">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Σε σχέση με τα υπάρχοντα δεδομένα, υπάρχουν σημαντικά μεθοδολογικά προβλήματα σχετικά με τη συλλογή και τη σύγκριση των δεδομένων για τις δαπάνες ψυχικής υγείας, ιδίως όσον αφορά το ποιες υπηρεσίες συμπεριλαμβάνονται, το εάν συμπεριλαμβάνονται όλες οι ηλικιακές ομάδες, το εάν συμπεριλαμβάνεται η άνοια και τέλος εάν συμπεριλαμβάνονται μόνο οι κρατικές δαπάνες ή όλες οι δαπάνες. Η χώρα μας, παρουσιάζει υψηλότερο άμεσο κόστος σε σύγκριση με το μέσο όρο των χωρών της Ε.Ε, δηλαδή το κόστος που αφορά στη θεραπεία των ατόμων με ψυχικές διαταραχές. Εμφανίζει ωστόσο χαμηλότερο έμμεσο κόστος, σχετικά με τις παροχές και τα επιδόματα καθώς και άλλα έμμεσα κόστη. Η διαφοροποίηση αυτή, οφείλεται πιθανόν στο γεγονός ό,τι απουσιάζει η πλήρη πρόνοια σε επίπεδο οικονομικής ενίσχυσης για τα άτομα με ψυχικές διαταραχές, εστιάζοντας κυρίως στη θεραπεία τους. </w:t>
      </w:r>
    </w:p>
    <w:p w:rsidR="00000000" w:rsidDel="00000000" w:rsidP="00000000" w:rsidRDefault="00000000" w:rsidRPr="00000000" w14:paraId="00000381">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Το εύρος των δαπανών για την ψυχική υγεία για το 2018, κυμαίνονταν από περίπου 4% των συνολικών δαπανών για την υγεία στην Εσθονία, στην Ελλάδα και στην Πολωνία, έως 13,5% στη Νορβηγία και 15% στη Γαλλία (Γράφημα 4.11). Πολλές χώρες, δαπανούν μόνο ένα μικρό ποσοστό του συνολικού προϋπολογισμού για την υγεία, για την ψυχική υγεία σε πολλές χώρες το οποίο είναι λιγότερο από 10%. Μόνο πέντε χώρες, το Ηνωμένο Βασίλειο, ο Καναδάς, η Γερμανία, η Νορβηγία και η Γαλλία, ξοδεύουν περισσότερο από το 10% του συνολικού προϋπολογισμού για την υγεία, στην ψυχική υγεία.</w:t>
      </w:r>
    </w:p>
    <w:p w:rsidR="00000000" w:rsidDel="00000000" w:rsidP="00000000" w:rsidRDefault="00000000" w:rsidRPr="00000000" w14:paraId="00000382">
      <w:pPr>
        <w:spacing w:line="276"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Γράφημα 4.11. </w:t>
      </w:r>
      <w:r w:rsidDel="00000000" w:rsidR="00000000" w:rsidRPr="00000000">
        <w:rPr>
          <w:rFonts w:ascii="Times New Roman" w:cs="Times New Roman" w:eastAsia="Times New Roman" w:hAnsi="Times New Roman"/>
          <w:sz w:val="24"/>
          <w:szCs w:val="24"/>
          <w:rtl w:val="0"/>
        </w:rPr>
        <w:t xml:space="preserve">Εκτιμώμενες δαπάνες για την ψυχική υγεία ως ποσοστό των συνολικών κρατικών δαπανών για την υγεία (2018 ή πιο πρόσφατα)</w:t>
      </w:r>
      <w:r w:rsidDel="00000000" w:rsidR="00000000" w:rsidRPr="00000000">
        <w:rPr>
          <w:rFonts w:ascii="Times New Roman" w:cs="Times New Roman" w:eastAsia="Times New Roman" w:hAnsi="Times New Roman"/>
          <w:b w:val="1"/>
          <w:sz w:val="24"/>
          <w:szCs w:val="24"/>
        </w:rPr>
        <w:drawing>
          <wp:inline distB="0" distT="0" distL="0" distR="0">
            <wp:extent cx="4679950" cy="4333875"/>
            <wp:docPr id="51" name=""/>
            <a:graphic>
              <a:graphicData uri="http://schemas.openxmlformats.org/drawingml/2006/chart">
                <c:chart r:id="rId28"/>
              </a:graphicData>
            </a:graphic>
          </wp:inline>
        </w:drawing>
      </w:r>
      <w:r w:rsidDel="00000000" w:rsidR="00000000" w:rsidRPr="00000000">
        <w:rPr>
          <w:rtl w:val="0"/>
        </w:rPr>
      </w:r>
    </w:p>
    <w:p w:rsidR="00000000" w:rsidDel="00000000" w:rsidP="00000000" w:rsidRDefault="00000000" w:rsidRPr="00000000" w14:paraId="00000383">
      <w:pPr>
        <w:spacing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Πηγή:</w:t>
      </w:r>
      <w:r w:rsidDel="00000000" w:rsidR="00000000" w:rsidRPr="00000000">
        <w:rPr>
          <w:rFonts w:ascii="Times New Roman" w:cs="Times New Roman" w:eastAsia="Times New Roman" w:hAnsi="Times New Roman"/>
          <w:sz w:val="20"/>
          <w:szCs w:val="20"/>
          <w:rtl w:val="0"/>
        </w:rPr>
        <w:t xml:space="preserve"> OECD (2021), A New Benchmark for Mental Health Systems (ιδία επεξεργασία); WHO (2018), WHO Mental Health Atlas 2017.</w:t>
      </w:r>
    </w:p>
    <w:p w:rsidR="00000000" w:rsidDel="00000000" w:rsidP="00000000" w:rsidRDefault="00000000" w:rsidRPr="00000000" w14:paraId="00000384">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385">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Ορισμένες χώρες, όπως είναι η Νέα Ζηλανδία, το Ηνωμένο Βασίλειο και η Αυστραλία πραγματοποίησαν σημαντική αύξηση της χρηματοδότησης για την ψυχική υγεία την τελευταία δεκαετία (NHS England, 2017; Australian Institute of Health and Welfare, 2021). Η Ελλάδα, εμφανίστηκε από τους μικρότερους ετήσιους ρυθμούς αύξησης της χρηματοδότησης για την ψυχική υγεία κατά την περίοδο 2009-2019 μεταξύ των χωρών του ΟΟΣΑ, που ήταν μικρότερος από 0,5% (WHO, 2021 ).</w:t>
      </w:r>
    </w:p>
    <w:p w:rsidR="00000000" w:rsidDel="00000000" w:rsidP="00000000" w:rsidRDefault="00000000" w:rsidRPr="00000000" w14:paraId="00000386">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387">
      <w:pPr>
        <w:pStyle w:val="Heading2"/>
        <w:jc w:val="center"/>
        <w:rPr>
          <w:rFonts w:ascii="Times New Roman" w:cs="Times New Roman" w:eastAsia="Times New Roman" w:hAnsi="Times New Roman"/>
          <w:i w:val="1"/>
          <w:color w:val="000000"/>
          <w:sz w:val="24"/>
          <w:szCs w:val="24"/>
        </w:rPr>
      </w:pPr>
      <w:bookmarkStart w:colFirst="0" w:colLast="0" w:name="_heading=h.111kx3o" w:id="52"/>
      <w:bookmarkEnd w:id="52"/>
      <w:r w:rsidDel="00000000" w:rsidR="00000000" w:rsidRPr="00000000">
        <w:rPr>
          <w:rFonts w:ascii="Times New Roman" w:cs="Times New Roman" w:eastAsia="Times New Roman" w:hAnsi="Times New Roman"/>
          <w:i w:val="1"/>
          <w:color w:val="000000"/>
          <w:sz w:val="24"/>
          <w:szCs w:val="24"/>
          <w:rtl w:val="0"/>
        </w:rPr>
        <w:t xml:space="preserve">4.5.2. Αποτελεσματική κατανομή πόρων</w:t>
      </w:r>
    </w:p>
    <w:p w:rsidR="00000000" w:rsidDel="00000000" w:rsidP="00000000" w:rsidRDefault="00000000" w:rsidRPr="00000000" w14:paraId="00000388">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Όλα τα συστήματα υγειονομικής περίθαλψης έχουν ως στόχο τη βέλτιστη παροχή φροντίδας, μέσω της αποτελεσματικής κατανομής και χρήσης των διαθέσιμων πόρων. Ειδικά στον τομέα της ψυχικής υγείας, δεδομένων και των περιορισμένων πόρων, όπως αναφέρθηκε και στην προηγούμενη ενότητα, η αποτελεσματική κατανομή των πόρων είναι ακόμα σημαντικότερη.  Παρά τις δυσκολίες, αρκετές χώρες του ΟΟΣΑ λαμβάνουν μέτρα σχετικά με την αποτελεσματικότερη κατανομή των διαθέσιμων πόρων στην παροχή φροντίδας για την ψυχική υγεία. Όπως υπογραμμίζεται ακόμη και από το πεδίο εφαρμογής του «</w:t>
      </w:r>
      <w:r w:rsidDel="00000000" w:rsidR="00000000" w:rsidRPr="00000000">
        <w:rPr>
          <w:rFonts w:ascii="Times New Roman" w:cs="Times New Roman" w:eastAsia="Times New Roman" w:hAnsi="Times New Roman"/>
          <w:i w:val="1"/>
          <w:sz w:val="24"/>
          <w:szCs w:val="24"/>
          <w:rtl w:val="0"/>
        </w:rPr>
        <w:t xml:space="preserve">Πλαισίου Επίδοσης της Ψυχικής Υγείας</w:t>
      </w:r>
      <w:r w:rsidDel="00000000" w:rsidR="00000000" w:rsidRPr="00000000">
        <w:rPr>
          <w:rFonts w:ascii="Times New Roman" w:cs="Times New Roman" w:eastAsia="Times New Roman" w:hAnsi="Times New Roman"/>
          <w:sz w:val="24"/>
          <w:szCs w:val="24"/>
          <w:rtl w:val="0"/>
        </w:rPr>
        <w:t xml:space="preserve">» του ΟΟΣΑ, το φάσμα των πολιτικών είναι πολύ ποικίλο και περιλαμβάνει από δραστηριότητες πρόληψης και προώθησης και συγκεκριμένες υπηρεσίες για ήπιες και  μέτριες διαταραχές έως τη φροντίδα με βάση την κοινότητα και τις υπηρεσίες οξείας ενδονοσοκομειακής περίθαλψης. Παρά ταύτα, η εύρεση της κατάλληλης ισορροπίας αποτελεί μια διαρκή πρόκληση για όλες τις χώρες. Στις περισσότερες χώρες του ΟΟΣΑ, οι εθνικές ή περιφερειακές στρατηγικές λαμβάνουν υπόψη τα ζητήματα σχεδιασμού και προσφοράς των υπηρεσιών καθώς και της ισορροπίας μεταξύ τους (Πίνακας 4.8).</w:t>
      </w:r>
    </w:p>
    <w:p w:rsidR="00000000" w:rsidDel="00000000" w:rsidP="00000000" w:rsidRDefault="00000000" w:rsidRPr="00000000" w14:paraId="00000389">
      <w:pPr>
        <w:spacing w:line="276"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Πίνακας 4.8. </w:t>
      </w:r>
      <w:r w:rsidDel="00000000" w:rsidR="00000000" w:rsidRPr="00000000">
        <w:rPr>
          <w:rFonts w:ascii="Times New Roman" w:cs="Times New Roman" w:eastAsia="Times New Roman" w:hAnsi="Times New Roman"/>
          <w:sz w:val="24"/>
          <w:szCs w:val="24"/>
          <w:rtl w:val="0"/>
        </w:rPr>
        <w:t xml:space="preserve">Εθνικές ή περιφερειακές στρατηγικές για τα μοντέλα παροχής υπηρεσιών, το σχεδιασμό και την ισορροπία</w:t>
      </w:r>
      <w:r w:rsidDel="00000000" w:rsidR="00000000" w:rsidRPr="00000000">
        <w:rPr>
          <w:rtl w:val="0"/>
        </w:rPr>
      </w:r>
    </w:p>
    <w:tbl>
      <w:tblPr>
        <w:tblStyle w:val="Table16"/>
        <w:tblW w:w="7586.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793"/>
        <w:gridCol w:w="3793"/>
        <w:tblGridChange w:id="0">
          <w:tblGrid>
            <w:gridCol w:w="3793"/>
            <w:gridCol w:w="3793"/>
          </w:tblGrid>
        </w:tblGridChange>
      </w:tblGrid>
      <w:tr>
        <w:trPr>
          <w:cantSplit w:val="0"/>
          <w:tblHeader w:val="0"/>
        </w:trPr>
        <w:tc>
          <w:tcPr/>
          <w:p w:rsidR="00000000" w:rsidDel="00000000" w:rsidP="00000000" w:rsidRDefault="00000000" w:rsidRPr="00000000" w14:paraId="0000038A">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Ύπαρξη εθνικής, περιφερειακής ή τοπικής στρατηγικής που καλύπτει  το σχεδιασμό υπηρεσιών</w:t>
            </w:r>
          </w:p>
        </w:tc>
        <w:tc>
          <w:tcPr/>
          <w:p w:rsidR="00000000" w:rsidDel="00000000" w:rsidP="00000000" w:rsidRDefault="00000000" w:rsidRPr="00000000" w14:paraId="0000038B">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Αυστραλία, Αυστρία, Βέλγιο, Τσεχία, Αγγλία, Ισλανδία, Ιρλανδία, Ισραήλ, Ιταλία, Ιαπωνία, Κορέα, Λετονία, Λιθουανία, Νορβηγία, Πολωνία, Πορτογαλία, Σλοβενία, Ελβετία, Τουρκία, Ελλάδα</w:t>
            </w:r>
          </w:p>
        </w:tc>
      </w:tr>
      <w:tr>
        <w:trPr>
          <w:cantSplit w:val="0"/>
          <w:tblHeader w:val="0"/>
        </w:trPr>
        <w:tc>
          <w:tcPr/>
          <w:p w:rsidR="00000000" w:rsidDel="00000000" w:rsidP="00000000" w:rsidRDefault="00000000" w:rsidRPr="00000000" w14:paraId="0000038C">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Ύπαρξη περιφερειακής ή τοπικής στρατηγικής που καλύπτει  το σχεδιασμό υπηρεσιών</w:t>
            </w:r>
          </w:p>
        </w:tc>
        <w:tc>
          <w:tcPr/>
          <w:p w:rsidR="00000000" w:rsidDel="00000000" w:rsidP="00000000" w:rsidRDefault="00000000" w:rsidRPr="00000000" w14:paraId="0000038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Καναδάς, Νέα Ζηλανδία, Ολλανδία</w:t>
            </w:r>
          </w:p>
        </w:tc>
      </w:tr>
      <w:tr>
        <w:trPr>
          <w:cantSplit w:val="0"/>
          <w:tblHeader w:val="0"/>
        </w:trPr>
        <w:tc>
          <w:tcPr/>
          <w:p w:rsidR="00000000" w:rsidDel="00000000" w:rsidP="00000000" w:rsidRDefault="00000000" w:rsidRPr="00000000" w14:paraId="0000038E">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Απουσία εθνικής, περιφερειακής ή τοπικής στρατηγικής που καλύπτει  το σχεδιασμό υπηρεσιών – υπό συζήτηση</w:t>
            </w:r>
          </w:p>
        </w:tc>
        <w:tc>
          <w:tcPr/>
          <w:p w:rsidR="00000000" w:rsidDel="00000000" w:rsidP="00000000" w:rsidRDefault="00000000" w:rsidRPr="00000000" w14:paraId="0000038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Μεξικό</w:t>
            </w:r>
          </w:p>
        </w:tc>
      </w:tr>
      <w:tr>
        <w:trPr>
          <w:cantSplit w:val="0"/>
          <w:tblHeader w:val="0"/>
        </w:trPr>
        <w:tc>
          <w:tcPr/>
          <w:p w:rsidR="00000000" w:rsidDel="00000000" w:rsidP="00000000" w:rsidRDefault="00000000" w:rsidRPr="00000000" w14:paraId="00000390">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Απουσία εθνικής, περιφερειακής ή τοπικής στρατηγικής που καλύπτει  το σχεδιασμό υπηρεσιών </w:t>
            </w:r>
          </w:p>
        </w:tc>
        <w:tc>
          <w:tcPr/>
          <w:p w:rsidR="00000000" w:rsidDel="00000000" w:rsidP="00000000" w:rsidRDefault="00000000" w:rsidRPr="00000000" w14:paraId="0000039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Λουξεμβούργο</w:t>
            </w:r>
          </w:p>
        </w:tc>
      </w:tr>
    </w:tbl>
    <w:p w:rsidR="00000000" w:rsidDel="00000000" w:rsidP="00000000" w:rsidRDefault="00000000" w:rsidRPr="00000000" w14:paraId="00000392">
      <w:pPr>
        <w:spacing w:after="12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Πηγή:</w:t>
      </w:r>
      <w:r w:rsidDel="00000000" w:rsidR="00000000" w:rsidRPr="00000000">
        <w:rPr>
          <w:rFonts w:ascii="Times New Roman" w:cs="Times New Roman" w:eastAsia="Times New Roman" w:hAnsi="Times New Roman"/>
          <w:sz w:val="20"/>
          <w:szCs w:val="20"/>
          <w:rtl w:val="0"/>
        </w:rPr>
        <w:t xml:space="preserve"> OECD (2021), A New Benchmark for Mental Health Systems (ιδία επεξεργασία).</w:t>
      </w:r>
    </w:p>
    <w:p w:rsidR="00000000" w:rsidDel="00000000" w:rsidP="00000000" w:rsidRDefault="00000000" w:rsidRPr="00000000" w14:paraId="00000393">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Σε κάποιες χώρες (Αυστραλία, Καναδάς, Αγγλία, Ιρλανδία, Σλοβενία), υπάρχουν συγκεκριμένες πολιτικές όπου απαιτείται η επίτευξη συγκεκριμένων στόχων που πρέπει να επιτευχθούν από το σύστημα ψυχικής υγείας. Σε άλλες χώρες, όπως είναι η Τσεχία, η Δανία, η Ιρλανδία, η Ιαπωνία, η Νορβηγία, η Σλοβενία, η Ελβετία και η Τουρκία, υπάρχουν συγκεκριμένες πολιτικές ή στρατηγικές για την αύξηση των παρεχόμενων υπηρεσιών και την εξισορρόπηση της παροχής υπηρεσιών μεταξύ πρωτοβάθμιας και εξειδικευμένης φροντίδας. Για παράδειγμα στην Ισλανδία, ένα σημαντικό μέρος της πρόσφατης στρατηγικής για την ψυχική υγεία έχει επικεντρωθεί στην αναδιανομή των πόρων για την ψυχική υγεία μέσω της αποϊδρυματοποίησης και την εφαρμογή εκτενέστερων υπηρεσιών ψυχικής υγείας που παρέχονται από τα κέντρα πρωτοβάθμιας φροντίδας υγείας σε όλη τη χώρα.  Ταυτόχρονα, υπάρχει συντονισμός και ποιοτικός έλεγχος των παρεχόμενων υπηρεσιών, από τον οργανισμό των Υπηρεσιών Πρωτοβάθμιας Φροντίδας Υγείας.</w:t>
      </w:r>
    </w:p>
    <w:p w:rsidR="00000000" w:rsidDel="00000000" w:rsidP="00000000" w:rsidRDefault="00000000" w:rsidRPr="00000000" w14:paraId="00000394">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Στη χώρα μας, πραγματοποιείται ένας Τομεοποιημένος Σχεδιασμός από το Υπουργείο Υγείας, που αφορά στον σχεδιασμό της ανάπτυξης και δημιουργίας υπηρεσιών ψυχικής υγείας ανά Τομέα Ψυχικής Υγείας Ενηλίκων καθώς και Παιδιών και Εφήβων σε επίπεδο υγειονομικής Περιφέρειας. Ο σχεδιασμός αυτός, έχει χρονοδιάγραμμα πενταετίας με μια προσπάθεια κοστολόγησης των υπό ανάπτυξη υπηρεσιών. Στην τελευταία έκθεση του Τομεοποιημένου Σχεδιασμού του Υπουργείου Υγείας τον Ιούνιο του 2019</w:t>
      </w:r>
      <w:r w:rsidDel="00000000" w:rsidR="00000000" w:rsidRPr="00000000">
        <w:rPr>
          <w:vertAlign w:val="superscript"/>
        </w:rPr>
        <w:footnoteReference w:customMarkFollows="0" w:id="3"/>
      </w:r>
      <w:r w:rsidDel="00000000" w:rsidR="00000000" w:rsidRPr="00000000">
        <w:rPr>
          <w:rFonts w:ascii="Times New Roman" w:cs="Times New Roman" w:eastAsia="Times New Roman" w:hAnsi="Times New Roman"/>
          <w:sz w:val="24"/>
          <w:szCs w:val="24"/>
          <w:rtl w:val="0"/>
        </w:rPr>
        <w:t xml:space="preserve">, καταγράφονται οι υφιστάμενες υπηρεσίες ψυχικής υγείας καθώς και οι υπηρεσίες που πρέπει να αναπτυχθούν με βάση τις ανάγκες του πληθυσμού. Προτείνονται επίσης νέες υπηρεσίες καθώς και η αναδιαμόρφωση του υπάρχοντος θεσμικού πλαισίου, σε μια σειρά από ζητήματα όπως είναι η ποινική απαλλαγή εξαιτίας ψυχικής ή νοητικής διαταραχής. Δεν υπάρχει ωστόσο ένα πλαίσιο επίτευξης συγκεκριμένων στόχων. Στο πλαίσιο του Εθνικού Σχεδίου Δράσης για τη Δημόσια Υγεία, δεν υπάρχει επίσης κάποια συγκεκριμένη αναφορά σχετικά με την αποτελεσματικότερη κατανομή των πόρων πέρα από κάποιες γενικές κατευθύνσεις. </w:t>
      </w:r>
    </w:p>
    <w:p w:rsidR="00000000" w:rsidDel="00000000" w:rsidP="00000000" w:rsidRDefault="00000000" w:rsidRPr="00000000" w14:paraId="00000395">
      <w:pPr>
        <w:pStyle w:val="Heading2"/>
        <w:jc w:val="center"/>
        <w:rPr>
          <w:rFonts w:ascii="Times New Roman" w:cs="Times New Roman" w:eastAsia="Times New Roman" w:hAnsi="Times New Roman"/>
          <w:i w:val="1"/>
          <w:color w:val="000000"/>
          <w:sz w:val="24"/>
          <w:szCs w:val="24"/>
        </w:rPr>
      </w:pPr>
      <w:bookmarkStart w:colFirst="0" w:colLast="0" w:name="_heading=h.3l18frh" w:id="53"/>
      <w:bookmarkEnd w:id="53"/>
      <w:r w:rsidDel="00000000" w:rsidR="00000000" w:rsidRPr="00000000">
        <w:rPr>
          <w:rFonts w:ascii="Times New Roman" w:cs="Times New Roman" w:eastAsia="Times New Roman" w:hAnsi="Times New Roman"/>
          <w:i w:val="1"/>
          <w:color w:val="000000"/>
          <w:sz w:val="24"/>
          <w:szCs w:val="24"/>
          <w:rtl w:val="0"/>
        </w:rPr>
        <w:t xml:space="preserve">4.5.3.Δυναμικότητα προσωπικού ψυχικής υγείας</w:t>
      </w:r>
    </w:p>
    <w:p w:rsidR="00000000" w:rsidDel="00000000" w:rsidP="00000000" w:rsidRDefault="00000000" w:rsidRPr="00000000" w14:paraId="00000396">
      <w:pPr>
        <w:ind w:firstLine="72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Υπάρχει σημαντική διαφοροποίηση στο εργατικό δυναμικό που απασχολείται στην ψυχική υγεία, μεταξύ των χωρών του ΟΟΣΑ (WHO, 2020</w:t>
      </w:r>
      <w:r w:rsidDel="00000000" w:rsidR="00000000" w:rsidRPr="00000000">
        <w:rPr>
          <w:rFonts w:ascii="Times New Roman" w:cs="Times New Roman" w:eastAsia="Times New Roman" w:hAnsi="Times New Roman"/>
          <w:sz w:val="24"/>
          <w:szCs w:val="24"/>
          <w:vertAlign w:val="superscript"/>
          <w:rtl w:val="0"/>
        </w:rPr>
        <w:t xml:space="preserve"> </w:t>
      </w:r>
      <w:r w:rsidDel="00000000" w:rsidR="00000000" w:rsidRPr="00000000">
        <w:rPr>
          <w:rFonts w:ascii="Times New Roman" w:cs="Times New Roman" w:eastAsia="Times New Roman" w:hAnsi="Times New Roman"/>
          <w:sz w:val="24"/>
          <w:szCs w:val="24"/>
          <w:rtl w:val="0"/>
        </w:rPr>
        <w:t xml:space="preserve">α). Για τις κατηγορίες εργατικού δυναμικού για τις υπάρχουν διαθέσιμα δεδομένα και ειδικότερα για τους ψυχιάτρους οι οποίοι αποτελούν την βασική ειδικότητα στα συστήματα ψυχικής υγείας, παρουσιάζονται σημαντικές διαφορές από χώρα σε χώρα. Ο αριθμός των ψυχιάτρων ανά 1.000 άτομα το 2019, κυμάνθηκε από 0,01 στο Μεξικό, 0,05 στην Τουρκία, 0,08 στην Κορέα και 0,09 στη Χιλή, έως 0,25 ή περισσότερους στην Ελλάδα, στη Νορβηγία και στη Γερμανία και 0,52 στην Ελβετία (Γράφημα 4.12).</w:t>
      </w:r>
      <w:r w:rsidDel="00000000" w:rsidR="00000000" w:rsidRPr="00000000">
        <w:rPr>
          <w:rtl w:val="0"/>
        </w:rPr>
      </w:r>
    </w:p>
    <w:p w:rsidR="00000000" w:rsidDel="00000000" w:rsidP="00000000" w:rsidRDefault="00000000" w:rsidRPr="00000000" w14:paraId="00000397">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398">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399">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39A">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39B">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39C">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39D">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39E">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39F">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3A0">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3A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Γράφημα 4.12. </w:t>
      </w:r>
      <w:r w:rsidDel="00000000" w:rsidR="00000000" w:rsidRPr="00000000">
        <w:rPr>
          <w:rFonts w:ascii="Times New Roman" w:cs="Times New Roman" w:eastAsia="Times New Roman" w:hAnsi="Times New Roman"/>
          <w:sz w:val="24"/>
          <w:szCs w:val="24"/>
          <w:rtl w:val="0"/>
        </w:rPr>
        <w:t xml:space="preserve">Ψυχίατροι ανά 1.000 άτομα, για τα έτη 2009-2019 </w:t>
      </w:r>
    </w:p>
    <w:p w:rsidR="00000000" w:rsidDel="00000000" w:rsidP="00000000" w:rsidRDefault="00000000" w:rsidRPr="00000000" w14:paraId="000003A2">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Pr>
        <w:drawing>
          <wp:inline distB="0" distT="0" distL="0" distR="0">
            <wp:extent cx="4679950" cy="6534150"/>
            <wp:docPr id="52" name=""/>
            <a:graphic>
              <a:graphicData uri="http://schemas.openxmlformats.org/drawingml/2006/chart">
                <c:chart r:id="rId29"/>
              </a:graphicData>
            </a:graphic>
          </wp:inline>
        </w:drawing>
      </w:r>
      <w:r w:rsidDel="00000000" w:rsidR="00000000" w:rsidRPr="00000000">
        <w:rPr>
          <w:rtl w:val="0"/>
        </w:rPr>
      </w:r>
    </w:p>
    <w:p w:rsidR="00000000" w:rsidDel="00000000" w:rsidP="00000000" w:rsidRDefault="00000000" w:rsidRPr="00000000" w14:paraId="000003A3">
      <w:pPr>
        <w:spacing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Πηγή:</w:t>
      </w:r>
      <w:r w:rsidDel="00000000" w:rsidR="00000000" w:rsidRPr="00000000">
        <w:rPr>
          <w:rFonts w:ascii="Times New Roman" w:cs="Times New Roman" w:eastAsia="Times New Roman" w:hAnsi="Times New Roman"/>
          <w:sz w:val="20"/>
          <w:szCs w:val="20"/>
          <w:rtl w:val="0"/>
        </w:rPr>
        <w:t xml:space="preserve"> OECD (2020α), OECD Health Statistics 2020, https://doi.org/10.1787/health-data-en.</w:t>
      </w:r>
    </w:p>
    <w:p w:rsidR="00000000" w:rsidDel="00000000" w:rsidP="00000000" w:rsidRDefault="00000000" w:rsidRPr="00000000" w14:paraId="000003A4">
      <w:pPr>
        <w:ind w:firstLine="72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Διάφορες άλλες κατηγορίες εργατικού δυναμικού που απασχολούνται στα συστήματα ψυχικής υγείας, διαδραματίζουν έναν κρίσιμο ρόλο στην παροχή υπηρεσιών και συμπεριλαμβάνουν τους ψυχολόγους, τις νοσηλεύτριες ψυχικής υγείας, τους κοινωνικούς λειτουργούς, τους γενικούς και οικογενειακούς γιατρούς, τους εργοθεραπευτές, τους φυσιοθεραπευτές και διάφορες άλλες ειδικότητες. Σε πολλές χώρες, διαφορετικές ομάδες επαγγελματιών ψυχικής υγείας συνεργάζονται για την παροχή ψυχιατρικής φροντίδας. Στις περισσότερες χώρες, δεν καταγράφονται τακτικά αυτά τα δεδομένα ή υπάρχει διαφοροποίηση στον τρόπο που καταγράφονται, με αποτέλεσμα να είναι αρκετά δύσκολη η σύγκριση μεταξύ των χωρών. Για παράδειγμα, όταν πρόκειται για ψυχολόγους, υπάρχει σημαντική διαφοροποίηση στον τρόπο διαπίστευσής τους, με ορισμένες χώρες να διαθέτουν ένα ενιαίο εθνικό σύστημα διαπίστευσης και κάποιες άλλες να μην έχουν κανένα σύστημα. Παρά ταύτα, με βάση τα διαθέσιμα δεδομένα, σε πολλές χώρες του ΟΟΣΑ αναφέρονται ελλείψεις εργατικού δυναμικού για την ψυχική υγεία (OECD, 2020α). Ο αριθμός ψυχολόγων ανά 1.000 άτομα πληθυσμού, κυμαίνεται από 0,095 επαγγελματίες στην Εσθονία, σε 1,4 στη Νορβηγία και περισσότερους από 1,6 στη Δανία (Γράφημα 4.13). Η χώρα μας, εμφανίζει τη χαμηλότερη αναλογία ψυχολόγων ανά 1.000 άτομα πληθυσμού, σε σχέση με τον μέσο όρο των χωρών του ΟΟΣΑ. Στην Ελλάδα, υπάρχει επίσης πολύ μικρός αριθμός νοσηλευτών ψυχικής υγείας σε σχέση με τον μέσο όρο του ΟΟΣΑ. Τα δεδομένα αυτά, έρχονται σε αντίθεση με τον αντίστοιχο αριθμό ψυχιάτρων σε αντίστοιχο αριθμό πληθυσμού, που βρίσκεται πολύ πάνω από τον μέσο όρο του ΟΟΣΑ. Με βάση αυτά τα στοιχεία, μπορούμε να υποθέσουμε πως η χώρα μας εστιάζει κατά κύριο λόγο στην φαρμακευτική θεραπευτική παρέμβαση, η οποία πραγματοποιείται κατά κύριο λόγο από τους ψυχιάτρους και όχι σε μια ολιστική θεραπευτική προσέγγιση, που απαιτεί τη συνεργασία και με άλλες ειδικότητες. Τα δεδομένα αυτά, μπορούν επίσης να ερμηνευθούν εάν λάβουμε υπόψη μας και τη μη ολοκλήρωση της δεύτερης ψυχιατρικής μεταρρύθμισης, η οποία είχε ως στόχο την εστίαση σε κοινοτικές υπηρεσίες παροχής φροντίδας. </w:t>
      </w:r>
      <w:r w:rsidDel="00000000" w:rsidR="00000000" w:rsidRPr="00000000">
        <w:rPr>
          <w:rtl w:val="0"/>
        </w:rPr>
      </w:r>
    </w:p>
    <w:p w:rsidR="00000000" w:rsidDel="00000000" w:rsidP="00000000" w:rsidRDefault="00000000" w:rsidRPr="00000000" w14:paraId="000003A5">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Γράφημα 4.13.</w:t>
      </w:r>
      <w:r w:rsidDel="00000000" w:rsidR="00000000" w:rsidRPr="00000000">
        <w:rPr>
          <w:rFonts w:ascii="Times New Roman" w:cs="Times New Roman" w:eastAsia="Times New Roman" w:hAnsi="Times New Roman"/>
          <w:sz w:val="24"/>
          <w:szCs w:val="24"/>
          <w:rtl w:val="0"/>
        </w:rPr>
        <w:t xml:space="preserve"> Ψυχολόγοι και ψυχιατρικές νοσηλεύτριες ανά 1.000 άτομα (2018 ή πιο πρόσφατα) </w:t>
      </w:r>
    </w:p>
    <w:p w:rsidR="00000000" w:rsidDel="00000000" w:rsidP="00000000" w:rsidRDefault="00000000" w:rsidRPr="00000000" w14:paraId="000003A6">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Pr>
        <w:drawing>
          <wp:inline distB="0" distT="0" distL="0" distR="0">
            <wp:extent cx="4679950" cy="6076950"/>
            <wp:docPr id="53" name=""/>
            <a:graphic>
              <a:graphicData uri="http://schemas.openxmlformats.org/drawingml/2006/chart">
                <c:chart r:id="rId30"/>
              </a:graphicData>
            </a:graphic>
          </wp:inline>
        </w:drawing>
      </w:r>
      <w:r w:rsidDel="00000000" w:rsidR="00000000" w:rsidRPr="00000000">
        <w:rPr>
          <w:rFonts w:ascii="Times New Roman" w:cs="Times New Roman" w:eastAsia="Times New Roman" w:hAnsi="Times New Roman"/>
          <w:b w:val="1"/>
          <w:sz w:val="18"/>
          <w:szCs w:val="18"/>
          <w:rtl w:val="0"/>
        </w:rPr>
        <w:t xml:space="preserve">Πηγή: </w:t>
      </w:r>
      <w:r w:rsidDel="00000000" w:rsidR="00000000" w:rsidRPr="00000000">
        <w:rPr>
          <w:rFonts w:ascii="Times New Roman" w:cs="Times New Roman" w:eastAsia="Times New Roman" w:hAnsi="Times New Roman"/>
          <w:sz w:val="18"/>
          <w:szCs w:val="18"/>
          <w:rtl w:val="0"/>
        </w:rPr>
        <w:t xml:space="preserve">OECD (2020α), OECD Health Statistics 2020, </w:t>
      </w:r>
      <w:hyperlink r:id="rId31">
        <w:r w:rsidDel="00000000" w:rsidR="00000000" w:rsidRPr="00000000">
          <w:rPr>
            <w:rFonts w:ascii="Times New Roman" w:cs="Times New Roman" w:eastAsia="Times New Roman" w:hAnsi="Times New Roman"/>
            <w:color w:val="0000ff"/>
            <w:sz w:val="18"/>
            <w:szCs w:val="18"/>
            <w:u w:val="single"/>
            <w:rtl w:val="0"/>
          </w:rPr>
          <w:t xml:space="preserve">https://doi.org/10.1787/health-data-en</w:t>
        </w:r>
      </w:hyperlink>
      <w:r w:rsidDel="00000000" w:rsidR="00000000" w:rsidRPr="00000000">
        <w:rPr>
          <w:rFonts w:ascii="Times New Roman" w:cs="Times New Roman" w:eastAsia="Times New Roman" w:hAnsi="Times New Roman"/>
          <w:sz w:val="18"/>
          <w:szCs w:val="18"/>
          <w:rtl w:val="0"/>
        </w:rPr>
        <w:t xml:space="preserve">.  </w:t>
      </w:r>
      <w:r w:rsidDel="00000000" w:rsidR="00000000" w:rsidRPr="00000000">
        <w:rPr>
          <w:rtl w:val="0"/>
        </w:rPr>
      </w:r>
    </w:p>
    <w:p w:rsidR="00000000" w:rsidDel="00000000" w:rsidP="00000000" w:rsidRDefault="00000000" w:rsidRPr="00000000" w14:paraId="000003A7">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3A8">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3A9">
      <w:pPr>
        <w:pStyle w:val="Heading1"/>
        <w:spacing w:before="0" w:lineRule="auto"/>
        <w:jc w:val="center"/>
        <w:rPr>
          <w:rFonts w:ascii="Times New Roman" w:cs="Times New Roman" w:eastAsia="Times New Roman" w:hAnsi="Times New Roman"/>
          <w:color w:val="000000"/>
        </w:rPr>
      </w:pPr>
      <w:bookmarkStart w:colFirst="0" w:colLast="0" w:name="_heading=h.206ipza" w:id="54"/>
      <w:bookmarkEnd w:id="54"/>
      <w:r w:rsidDel="00000000" w:rsidR="00000000" w:rsidRPr="00000000">
        <w:rPr>
          <w:rFonts w:ascii="Times New Roman" w:cs="Times New Roman" w:eastAsia="Times New Roman" w:hAnsi="Times New Roman"/>
          <w:color w:val="000000"/>
          <w:rtl w:val="0"/>
        </w:rPr>
        <w:t xml:space="preserve">ΚΕΦΑΛΑΙΟ V</w:t>
      </w:r>
    </w:p>
    <w:p w:rsidR="00000000" w:rsidDel="00000000" w:rsidP="00000000" w:rsidRDefault="00000000" w:rsidRPr="00000000" w14:paraId="000003AA">
      <w:pPr>
        <w:pStyle w:val="Heading1"/>
        <w:spacing w:before="0" w:lineRule="auto"/>
        <w:jc w:val="center"/>
        <w:rPr>
          <w:rFonts w:ascii="Times New Roman" w:cs="Times New Roman" w:eastAsia="Times New Roman" w:hAnsi="Times New Roman"/>
          <w:color w:val="000000"/>
        </w:rPr>
      </w:pPr>
      <w:bookmarkStart w:colFirst="0" w:colLast="0" w:name="_heading=h.4k668n3" w:id="55"/>
      <w:bookmarkEnd w:id="55"/>
      <w:r w:rsidDel="00000000" w:rsidR="00000000" w:rsidRPr="00000000">
        <w:rPr>
          <w:rFonts w:ascii="Times New Roman" w:cs="Times New Roman" w:eastAsia="Times New Roman" w:hAnsi="Times New Roman"/>
          <w:color w:val="000000"/>
          <w:rtl w:val="0"/>
        </w:rPr>
        <w:t xml:space="preserve">ΣΥΖΗΤΗΣΗ</w:t>
      </w:r>
    </w:p>
    <w:p w:rsidR="00000000" w:rsidDel="00000000" w:rsidP="00000000" w:rsidRDefault="00000000" w:rsidRPr="00000000" w14:paraId="000003AB">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Σκοπός της παρούσας έρευνας, ήταν η συγκριτική αξιολόγηση των συστημάτων ψυχικής υγείας σε διάφορες χώρες, συμπεριλαμβανομένης και της χώρας μας, σε πέντε άξονες που έχουν προταθεί από τον ΟΟΣΑ. Οι ψυχικές ασθένειες, έχουν σημαντικό κοινωνικό και οικονομικό αντίκτυπο σε όλες τις χώρες. Από τα αποτελέσματα της έρευνας, φάνηκε πως το σύστημα ψυχικής υγείας της χώρας μας, υπολείπεται σε διάφορους τομείς σε σύγκριση με άλλες χώρες του ΟΟΣΑ. Τα βασικότερα προβλήματα του συστήματος ψυχικής υγείας της χώρας μας στους πέντε άξονες είναι:</w:t>
      </w:r>
    </w:p>
    <w:p w:rsidR="00000000" w:rsidDel="00000000" w:rsidP="00000000" w:rsidRDefault="00000000" w:rsidRPr="00000000" w14:paraId="000003AC">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Α) Ανθρωποκεντρικές πολιτικές και υπηρεσίες ψυχικής υγείας</w:t>
      </w:r>
    </w:p>
    <w:p w:rsidR="00000000" w:rsidDel="00000000" w:rsidP="00000000" w:rsidRDefault="00000000" w:rsidRPr="00000000" w14:paraId="000003AD">
      <w:pPr>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Θετικά</w:t>
      </w:r>
    </w:p>
    <w:p w:rsidR="00000000" w:rsidDel="00000000" w:rsidP="00000000" w:rsidRDefault="00000000" w:rsidRPr="00000000" w14:paraId="000003AE">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Δυνατότητα άμεσης και ελεύθερης πρόσβασης σε οποιοδήποτε ιδιωτικό φορέα, χωρίς περιορισμό ή υποχρέωση παραπομπής, με κόστος το οποίο επιβαρύνονται οι ίδιοι. Ελεύθερη και άμεση πρόσβαση στους φορείς δημόσιας υγείας, χωρίς παραπομπή και οικονομική επιβάρυνση. </w:t>
      </w:r>
    </w:p>
    <w:p w:rsidR="00000000" w:rsidDel="00000000" w:rsidP="00000000" w:rsidRDefault="00000000" w:rsidRPr="00000000" w14:paraId="000003AF">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Υποχρεωτική συμμετοχή των ληπτών υπηρεσιών ψυχικής υγείας ή των εκπροσώπων τους στη λήψη αποφάσεων σχετικά με το σχέδιο φροντίδας τους. Η συμμετοχή της οικογένειας των ληπτών ή των φροντιστών τους στο σχέδιο φροντίδας, δεν είναι υποχρεωτική και εξαρτάται από το πλαίσιο φροντίδας. </w:t>
      </w:r>
    </w:p>
    <w:p w:rsidR="00000000" w:rsidDel="00000000" w:rsidP="00000000" w:rsidRDefault="00000000" w:rsidRPr="00000000" w14:paraId="000003B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center"/>
        <w:rPr>
          <w:rFonts w:ascii="Times New Roman" w:cs="Times New Roman" w:eastAsia="Times New Roman" w:hAnsi="Times New Roman"/>
          <w:b w:val="0"/>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Αρνητικά</w:t>
      </w:r>
    </w:p>
    <w:p w:rsidR="00000000" w:rsidDel="00000000" w:rsidP="00000000" w:rsidRDefault="00000000" w:rsidRPr="00000000" w14:paraId="000003B1">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Δεν υπάρχει η δυνατότητα επιλογής συγκεκριμένου παρόχου στο πλαίσιο του δημοσίου τομέα.</w:t>
      </w:r>
    </w:p>
    <w:p w:rsidR="00000000" w:rsidDel="00000000" w:rsidP="00000000" w:rsidRDefault="00000000" w:rsidRPr="00000000" w14:paraId="000003B2">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Στη χώρα μας, δεν προβλέπεται η εξέταση από ένα δικαστή μετά από την ακούσια εισαγωγή ενός ασθενούς σε μια ψυχιατρική δομή. Υπάρχουν επίσης πολύ υψηλά ποσοστά ακούσιων νοσηλειών καθώς και κράτησης ασθενών στα ψυχιατρικά τμήματα των γενικών νοσοκομείων.</w:t>
      </w:r>
    </w:p>
    <w:p w:rsidR="00000000" w:rsidDel="00000000" w:rsidP="00000000" w:rsidRDefault="00000000" w:rsidRPr="00000000" w14:paraId="000003B3">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Η χώρα μας, έχει υϊοθετήσει πολιτικές σχετικά με τα παιδιά και τους νέους, εξαιρώντας μεγάλες και ευάλωτες ομάδες πληθυσμού οι οποίοι χρήζουν υποστήριξης, όπως είναι οι γυναίκες, οι ηλικιωμένοι, οι άνεργοι και οι μειονότητες.</w:t>
      </w:r>
    </w:p>
    <w:p w:rsidR="00000000" w:rsidDel="00000000" w:rsidP="00000000" w:rsidRDefault="00000000" w:rsidRPr="00000000" w14:paraId="000003B4">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Στη χώρα μας, δε χρησιμοποιείται κανένας δείκτης ή κάποια άλλη μορφή αξιολόγησης των εμπειριών των ληπτών ή των παρεχόμενων υπηρεσιών.</w:t>
      </w:r>
    </w:p>
    <w:p w:rsidR="00000000" w:rsidDel="00000000" w:rsidP="00000000" w:rsidRDefault="00000000" w:rsidRPr="00000000" w14:paraId="000003B5">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Το σχέδιο φροντίδας δεν περιλαμβάνει κανένα ζήτημα που αφορά ενδεχόμενη επαγγελματική αποκατάσταση, ζητήματα που αφορούν την εκπαίδευση ή άλλα προβλήματα, εστιάζοντας κατά κύριο λόγο στη θεραπεία και αποκατάσταση της ψυχικής υγείας του ατόμου.</w:t>
      </w:r>
    </w:p>
    <w:p w:rsidR="00000000" w:rsidDel="00000000" w:rsidP="00000000" w:rsidRDefault="00000000" w:rsidRPr="00000000" w14:paraId="000003B6">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Β) Προσβασιμότητα και ποιότητα υπηρεσιών ψυχικής υγείας</w:t>
      </w:r>
    </w:p>
    <w:p w:rsidR="00000000" w:rsidDel="00000000" w:rsidP="00000000" w:rsidRDefault="00000000" w:rsidRPr="00000000" w14:paraId="000003B7">
      <w:pPr>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Θετικά</w:t>
      </w:r>
    </w:p>
    <w:p w:rsidR="00000000" w:rsidDel="00000000" w:rsidP="00000000" w:rsidRDefault="00000000" w:rsidRPr="00000000" w14:paraId="000003B8">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Υπάρχει πλήρης κάλυψη της συμβουλευτικής για τον αλκοολισμό ή τη χρήση ουσιών, η οποία πραγματοποιείται από εξειδικευμένα κέντρα, όπως είναι ο ΟΚΑΝΑ ή το ΚΕΘΕΑ. Οι εξωνοσοκομειακές υπηρεσίες είναι επίσης δωρεάν, στο πλαίσιο της λειτουργίας των δημόσιων φορέων αλλά και των ΝΠΙΔ, που χρηματοδοτούνται από τον κρατικό προϋπολογισμό.</w:t>
      </w:r>
    </w:p>
    <w:p w:rsidR="00000000" w:rsidDel="00000000" w:rsidP="00000000" w:rsidRDefault="00000000" w:rsidRPr="00000000" w14:paraId="000003B9">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Δυνατότητα αυτοπαραπομπής σε όλες ή σε μερικές υπηρεσίες ψυχικής υγείας, χωρίς προηγούμενη παραπομπή από κάποιον ειδικό.</w:t>
      </w:r>
    </w:p>
    <w:p w:rsidR="00000000" w:rsidDel="00000000" w:rsidP="00000000" w:rsidRDefault="00000000" w:rsidRPr="00000000" w14:paraId="000003BA">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Μείωση των ενδοσοκομειακών ψυχιατρικών κλινών, ακολουθώντας μέσο όρο των χωρών του ΟΟΣΑ, δεδομένων των ψυχιατρικών μεταρρυθμίσεων που πραγματοποιήθηκαν τις τελευταίες δύο δεκαετίες και μεταστροφή σε ένα μοντέλο  κοινοτικής φροντίδας.</w:t>
      </w:r>
    </w:p>
    <w:p w:rsidR="00000000" w:rsidDel="00000000" w:rsidP="00000000" w:rsidRDefault="00000000" w:rsidRPr="00000000" w14:paraId="000003BB">
      <w:pPr>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Αρνητικά</w:t>
      </w:r>
    </w:p>
    <w:p w:rsidR="00000000" w:rsidDel="00000000" w:rsidP="00000000" w:rsidRDefault="00000000" w:rsidRPr="00000000" w14:paraId="000003BC">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Δεν υπάρχει κάλυψη των ψυχολογικών θεραπειών</w:t>
      </w:r>
    </w:p>
    <w:p w:rsidR="00000000" w:rsidDel="00000000" w:rsidP="00000000" w:rsidRDefault="00000000" w:rsidRPr="00000000" w14:paraId="000003BD">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Υψηλό ποσοστά ανεκπλήρωτων αναγκών ψυχικής υγείας, που ανέρχεται στο 70%.</w:t>
      </w:r>
    </w:p>
    <w:p w:rsidR="00000000" w:rsidDel="00000000" w:rsidP="00000000" w:rsidRDefault="00000000" w:rsidRPr="00000000" w14:paraId="000003BE">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Απουσία επίσημων στατιστικών δεδομένων για το μέσο χρόνο αναμονής για την πρόσβαση σε υπηρεσίες ψυχικής υγείας. Από τα διαθέσιμα στοιχεία, ο μέσος χρόνος αναμονής στους ενήλικες μπορεί να ανέρχεται έως και στις 76 ημέρες. Στις περισσότερες δημόσιες υπηρεσίες ψυχικής υγείας παιδιών και εφήβων ο χρόνος αναμονής για τα συνηθισμένα περιστατικά είναι μεγαλύτερος από ένα μήνα, ενώ σε ειδικές περιπτώσεις μπορεί να φτάσει και τους 12 μήνες.</w:t>
      </w:r>
    </w:p>
    <w:p w:rsidR="00000000" w:rsidDel="00000000" w:rsidP="00000000" w:rsidRDefault="00000000" w:rsidRPr="00000000" w14:paraId="000003BF">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Δεν υπάρχει μια εθνική γραμμή ψυχολογικής βοήθειας, παρά μόνο κάποιες γραμμές τηλεφωνικής υποστήριξης που λειτουργούν από ΝΠΙΔ.</w:t>
      </w:r>
    </w:p>
    <w:p w:rsidR="00000000" w:rsidDel="00000000" w:rsidP="00000000" w:rsidRDefault="00000000" w:rsidRPr="00000000" w14:paraId="000003C0">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Η χώρα μας, εμφανίζει μαζί με την Ισπανία και την Κορέα, τους υψηλότερους χρόνους ενδοσοκομειακής νοσηλείας, που ανέρχονται στις 96 ημέρες.</w:t>
      </w:r>
    </w:p>
    <w:p w:rsidR="00000000" w:rsidDel="00000000" w:rsidP="00000000" w:rsidRDefault="00000000" w:rsidRPr="00000000" w14:paraId="000003C1">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Το Μεξικό και η Ελλάδα, εμφανίζουν τον χαμηλότερο αριθμό ατόμων που παρακολουθούνται σε εξωνοσοκομειακές μονάδες ψυχικής υγείας.</w:t>
      </w:r>
    </w:p>
    <w:p w:rsidR="00000000" w:rsidDel="00000000" w:rsidP="00000000" w:rsidRDefault="00000000" w:rsidRPr="00000000" w14:paraId="000003C2">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Απουσία συνέχειας της φροντίδας και παρακολούθησης. Η μόνη διαθέσιμη υπηρεσία που αφορά στη συνέχεια της φροντίδας, παρέχεται από τις Κινητές Μονάδες Ψυχικής Υγείας.</w:t>
      </w:r>
    </w:p>
    <w:p w:rsidR="00000000" w:rsidDel="00000000" w:rsidP="00000000" w:rsidRDefault="00000000" w:rsidRPr="00000000" w14:paraId="000003C3">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Το ποσοστό ακούσιων νοσηλειών στη χώρα μας, είναι τέσσερις φορές υψηλότερο από τον ευρωπαϊκό μέσο όρο, ενώ η εντολή για θεραπεία σε κοινοτικά πλαίσια δεν είναι καθιερωμένη νομοθετικά. Δεν υπάρχουν επίσης επίσημα στατιστικά στοιχεία σχετικά με τα καταναγκαστικά μέτρα και την απομόνωση. Παρά ταύτα, κάποιες εκθέσεις αναφέρουν πως τα καταναγκαστικά μέτρα που λαμβάνονται κατά την ακούσια νοσηλεία είναι ανεπαρκή και παραβιάζουν τα δικαιώματα των ασθενών.</w:t>
      </w:r>
    </w:p>
    <w:p w:rsidR="00000000" w:rsidDel="00000000" w:rsidP="00000000" w:rsidRDefault="00000000" w:rsidRPr="00000000" w14:paraId="000003C4">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Γ) Ολοκληρωμένη και πολυτομεακή προσέγγιση της ψυχικής υγείας</w:t>
      </w:r>
    </w:p>
    <w:p w:rsidR="00000000" w:rsidDel="00000000" w:rsidP="00000000" w:rsidRDefault="00000000" w:rsidRPr="00000000" w14:paraId="000003C5">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Θετικά</w:t>
      </w:r>
    </w:p>
    <w:p w:rsidR="00000000" w:rsidDel="00000000" w:rsidP="00000000" w:rsidRDefault="00000000" w:rsidRPr="00000000" w14:paraId="000003C6">
      <w:pPr>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Αρνητικά</w:t>
      </w:r>
    </w:p>
    <w:p w:rsidR="00000000" w:rsidDel="00000000" w:rsidP="00000000" w:rsidRDefault="00000000" w:rsidRPr="00000000" w14:paraId="000003C7">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Στη χώρα μας, δεν υπάρχει ένα εθνικό πρόγραμμα ή στρατηγική ολοκληρωμένης προσέγγισης για την υγεία, ενώ κατά κύριο λόγο την ευθύνη της διαχείρισης της ψυχικής υγείας την έχει το Υπουργείο Υγείας.</w:t>
      </w:r>
    </w:p>
    <w:p w:rsidR="00000000" w:rsidDel="00000000" w:rsidP="00000000" w:rsidRDefault="00000000" w:rsidRPr="00000000" w14:paraId="000003C8">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Δεν υπάρχει πρόβλεψη για τον έλεγχο και την προώθηση της σωματικής υγείας των ψυχικά ασθενών και εξαρτάται κατά κύριο λόγο από το πλαίσιο, χωρίς να υπάρχει κάποια επίσημη πολιτική.</w:t>
      </w:r>
    </w:p>
    <w:p w:rsidR="00000000" w:rsidDel="00000000" w:rsidP="00000000" w:rsidRDefault="00000000" w:rsidRPr="00000000" w14:paraId="000003C9">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Χαμηλό ποσοστό απασχόλησης για τα άτομα με κάποια ψυχική πάθηση και μειωμένη πρόσβαση στις  υψηλότερες βαθμίδες εκπαίδευσης. Ανάμεσα στα άλλα, οφείλεται στην έλλειψη οργανωμένης πρωτοβουλίας για την υποστήριξη των ατόμων με προβλήματα ψυχικής υγείας σχετικά με την απασχόληση. Η εύρεση εργασίας, δεν αποτελεί επίσης στόχο  για τον ασθενή, εκτός από συγκεκριμένα πλαίσια φροντίδας.</w:t>
      </w:r>
    </w:p>
    <w:p w:rsidR="00000000" w:rsidDel="00000000" w:rsidP="00000000" w:rsidRDefault="00000000" w:rsidRPr="00000000" w14:paraId="000003CA">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Δ) Πρόληψη ψυχικής ασθένειας και προαγωγή υγείας</w:t>
      </w:r>
    </w:p>
    <w:p w:rsidR="00000000" w:rsidDel="00000000" w:rsidP="00000000" w:rsidRDefault="00000000" w:rsidRPr="00000000" w14:paraId="000003CB">
      <w:pPr>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Θετικά</w:t>
      </w:r>
    </w:p>
    <w:p w:rsidR="00000000" w:rsidDel="00000000" w:rsidP="00000000" w:rsidRDefault="00000000" w:rsidRPr="00000000" w14:paraId="000003CC">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Η Ελλάδα, είναι μια από τις χώρες του ΟΟΣΑ που έχει υλοποιήσει και υλοποιεί προγράμματα πρόληψης της ψυχικής ασθένειας και προαγωγής της  υγείας στα σχολεία, σε όλες τις εκπαιδευτικές βαθμίδες, χωρίς ωστόσο να αποτελούν μόνιμο στοιχείο του εκπαιδευτικού προγράμματος.</w:t>
      </w:r>
    </w:p>
    <w:p w:rsidR="00000000" w:rsidDel="00000000" w:rsidP="00000000" w:rsidRDefault="00000000" w:rsidRPr="00000000" w14:paraId="000003CD">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Η χώρα μας εμφανίζει από τα χαμηλότερα ποσοστά αυτοκτονιών σε σύγκριση με τις χώρες του ΟΟΣΑ.</w:t>
      </w:r>
    </w:p>
    <w:p w:rsidR="00000000" w:rsidDel="00000000" w:rsidP="00000000" w:rsidRDefault="00000000" w:rsidRPr="00000000" w14:paraId="000003CE">
      <w:pPr>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Αρνητικά</w:t>
      </w:r>
    </w:p>
    <w:p w:rsidR="00000000" w:rsidDel="00000000" w:rsidP="00000000" w:rsidRDefault="00000000" w:rsidRPr="00000000" w14:paraId="000003CF">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Απουσία εθνικού προγράμματος για την προαγωγή και πρόληψη της ψυχικής υγείας. Υλοποιούνται μόνο δράσεις στο πλαίσιο της Παγκόσμιας Ημέρας Ψυχικής Υγείας, με θεματικές οι οποίες διαφοροποιούνται κάθε έτος. </w:t>
      </w:r>
    </w:p>
    <w:p w:rsidR="00000000" w:rsidDel="00000000" w:rsidP="00000000" w:rsidRDefault="00000000" w:rsidRPr="00000000" w14:paraId="000003D0">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Απουσία εθνικού προγράμματος για την πρόληψη και την προαγωγή της ψυχικής υγείας στους χώρους εργασίας, ούτε συγκεκριμένο νομοθετικό πλαίσιο για την ψυχική υγεία στην εργασία.</w:t>
      </w:r>
    </w:p>
    <w:p w:rsidR="00000000" w:rsidDel="00000000" w:rsidP="00000000" w:rsidRDefault="00000000" w:rsidRPr="00000000" w14:paraId="000003D1">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Απουσία εθνικού προγράμματος για την αντιμετώπιση του στίγματος, ούτε συμπεριλαμβάνεται η αντιμετώπιση του στίγματος στην εθνική πολιτική.</w:t>
      </w:r>
    </w:p>
    <w:p w:rsidR="00000000" w:rsidDel="00000000" w:rsidP="00000000" w:rsidRDefault="00000000" w:rsidRPr="00000000" w14:paraId="000003D2">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Ε) Δαπάνες και πόροι, πολιτικές, σχεδιασμός και χρηστή διακυβέρνηση</w:t>
      </w:r>
    </w:p>
    <w:p w:rsidR="00000000" w:rsidDel="00000000" w:rsidP="00000000" w:rsidRDefault="00000000" w:rsidRPr="00000000" w14:paraId="000003D3">
      <w:pPr>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Θετικά</w:t>
      </w:r>
    </w:p>
    <w:p w:rsidR="00000000" w:rsidDel="00000000" w:rsidP="00000000" w:rsidRDefault="00000000" w:rsidRPr="00000000" w14:paraId="000003D4">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Ύπαρξη Τομεοποιημένου Σχεδιασμού από το Υπουργείο Υγείας, που αφορά στον σχεδιασμό της ανάπτυξης και δημιουργίας υπηρεσιών ψυχικής υγείας ανά Τομέα Ψυχικής Υγείας Ενηλίκων καθώς και Παιδιών και Εφήβων σε επίπεδο υγειονομικής Περιφέρειας. Συμπεριλαμβάνει και κοστολόγηση των υπό ανάπτυξη υπηρεσιών.</w:t>
      </w:r>
    </w:p>
    <w:p w:rsidR="00000000" w:rsidDel="00000000" w:rsidP="00000000" w:rsidRDefault="00000000" w:rsidRPr="00000000" w14:paraId="000003D5">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Υψηλός αριθμός ψυχιάτρων σε σύγκριση με τον μέσο όρο των χωρών.</w:t>
      </w:r>
    </w:p>
    <w:p w:rsidR="00000000" w:rsidDel="00000000" w:rsidP="00000000" w:rsidRDefault="00000000" w:rsidRPr="00000000" w14:paraId="000003D6">
      <w:pPr>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Αρνητικά</w:t>
      </w:r>
    </w:p>
    <w:p w:rsidR="00000000" w:rsidDel="00000000" w:rsidP="00000000" w:rsidRDefault="00000000" w:rsidRPr="00000000" w14:paraId="000003D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Η χώρα μας, παρουσιάζει υψηλότερο άμεσο κόστος θεραπείας των ατόμων με ψυχικές διαταραχές σε σύγκριση με το μέσο όρο των χωρών της Ε.Ε. Εμφανίζει ωστόσο χαμηλότερο έμμεσο κόστος, σχετικά με τις παροχές και τα επιδόματα καθώς και άλλα έμμεσα κόστη. Η διαφοροποίηση αυτή, οφείλεται πιθανόν στο γεγονός ό,τι απουσιάζει η πλήρη πρόνοια σε επίπεδο οικονομικής ενίσχυσης για τα άτομα με ψυχικές διαταραχές, εστιάζοντας κυρίως στη θεραπεία τους.</w:t>
      </w:r>
    </w:p>
    <w:p w:rsidR="00000000" w:rsidDel="00000000" w:rsidP="00000000" w:rsidRDefault="00000000" w:rsidRPr="00000000" w14:paraId="000003D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Χαμηλό ποσό δαπανών για την ψυχική υγεία και χαμηλοί ετήσιοι ρυθμοί ανάπτυξης της χρηματοδότησης για την ψυχική υγεία μεταξύ των χωρών του ΟΟΣΑ.</w:t>
      </w:r>
    </w:p>
    <w:p w:rsidR="00000000" w:rsidDel="00000000" w:rsidP="00000000" w:rsidRDefault="00000000" w:rsidRPr="00000000" w14:paraId="000003D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Η χώρα μας, εμφανίζει τη χαμηλότερη αναλογία ψυχολόγων ανά 1.000 άτομα πληθυσμού, σε σχέση με τον μέσο όρο των χωρών του ΟΟΣΑ καθώς και μικρό αριθμό νοσηλευτών ψυχικής υγείας.</w:t>
      </w:r>
    </w:p>
    <w:p w:rsidR="00000000" w:rsidDel="00000000" w:rsidP="00000000" w:rsidRDefault="00000000" w:rsidRPr="00000000" w14:paraId="000003DA">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Το σύστημα ψυχικής υγείας στη χώρα μας, χαρακτηριζόταν ανέκαθεν από διάφορες προβλήματα, όπως είναι οι ελλείψεις προσωπικού και υπηρεσιών σε αρκετά τμήματα της χώρας, το ελλιπές τομεακό πλαίσιο και η έλλειψη συντονισμού μεταξύ των υπηρεσιών ψυχικής υγείας, η απουσία αξιολόγησης και παρακολούθησης των παρεχόμενων υπηρεσιών, τα κενά σε εξειδικευμένες υπηρεσίες ψυχικής υγείας, η έλλειψη προσεκτικού σχεδιασμού των υπηρεσιών και η απουσία συγκεκριμένων πολιτικών (Economou et al., 2017). Η ψυχική υγεία, παρά την προσπάθεια που έγινε με τις δύο ψυχιατρικές μεταρρυθμίσεις και τα προγράμματα Ψυχαργώς I και II, δε φαίνεται να αποτελεί προτεραιότητα των κυβερνήσεων, παρά το πολύ υψηλό ποσοστό ανεκπλήρωτων αναγκών ψυχικής υγείας. Είναι χαρακτηριστικό πως στο τελευταίο Εθνικό Σχέδιο Δράσης για τη Δημόσια Υγεία 2021-2025, δεν υπάρχει καμία συγκεκριμένη στρατηγική για την ψυχική υγεία, πέρα από μια αναφορά στην πρόληψη και στην προαγωγή της ψυχικής υγείας του μαθητικού πληθυσμού μέσω προγραμμάτων στα σχολεία και την πρόταση  κατάρτισης ενός Εθνικού Σχεδίου Δράσης για τη Ψυχική Υγεία και τις Εξαρτήσεις</w:t>
      </w:r>
      <w:r w:rsidDel="00000000" w:rsidR="00000000" w:rsidRPr="00000000">
        <w:rPr>
          <w:vertAlign w:val="superscript"/>
        </w:rPr>
        <w:footnoteReference w:customMarkFollows="0" w:id="4"/>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DB">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Η αδυναμία των πολιτών, να πληρώσουν ιδιώτες παρόχους υπηρεσιών ψυχικής υγείας, αντικατοπτρίζεται στην κατακόρυφη αύξηση για δημόσιες υπηρεσίες ψυχικής υγείας (Kyriakidou &amp;Triliva, 2018). Η χώρα μας, πρέπει αρχικά να δημιουργήσει ένα εθνικό σχέδιο δράσης με συγκεκριμένες πολιτικές και στρατηγικές για την ψυχική υγεία του πληθυσμού. Ταυτόχρονα, πρέπει να εισαχθούν δείκτες αξιολόγησης των παρεχόμενων υπηρεσιών και αναλυτική καταγραφή των αναγκών σε όλες τις περιοχές της χώρας, πέρα από τις αστικές περιοχές. Κρίνεται επίσης, απαραίτητη η διασύνδεση των υπηρεσιών ψυχικής υγείας και η σωστή πληροφόρηση των πολιτών για τις διαθέσιμες υπηρεσίες. Τέλος, πρέπει να ολοκληρωθεί η ψυχιατρική μεταρρύθμιση, με πλήρη στροφή στο μοντέλο κοινοτικής φροντίδας της ασθένειας, προκειμένου να μειωθούν οι κοινωνικές και οικονομικές επιπτώσεις των ψυχικών ασθενειών. </w:t>
      </w:r>
    </w:p>
    <w:p w:rsidR="00000000" w:rsidDel="00000000" w:rsidP="00000000" w:rsidRDefault="00000000" w:rsidRPr="00000000" w14:paraId="000003D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D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D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D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E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E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E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E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E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E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E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E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E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E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E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E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E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E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E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E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F0">
      <w:pPr>
        <w:pStyle w:val="Heading1"/>
        <w:spacing w:before="0" w:lineRule="auto"/>
        <w:jc w:val="center"/>
        <w:rPr>
          <w:rFonts w:ascii="Times New Roman" w:cs="Times New Roman" w:eastAsia="Times New Roman" w:hAnsi="Times New Roman"/>
          <w:color w:val="000000"/>
        </w:rPr>
      </w:pPr>
      <w:bookmarkStart w:colFirst="0" w:colLast="0" w:name="_heading=h.2zbgiuw" w:id="56"/>
      <w:bookmarkEnd w:id="56"/>
      <w:r w:rsidDel="00000000" w:rsidR="00000000" w:rsidRPr="00000000">
        <w:rPr>
          <w:rFonts w:ascii="Times New Roman" w:cs="Times New Roman" w:eastAsia="Times New Roman" w:hAnsi="Times New Roman"/>
          <w:color w:val="000000"/>
          <w:rtl w:val="0"/>
        </w:rPr>
        <w:t xml:space="preserve">ΒΙΒΛΙΟΓΡΑΦΙΑ</w:t>
      </w:r>
    </w:p>
    <w:p w:rsidR="00000000" w:rsidDel="00000000" w:rsidP="00000000" w:rsidRDefault="00000000" w:rsidRPr="00000000" w14:paraId="000003F1">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Adler, D. A. </w:t>
      </w:r>
      <w:r w:rsidDel="00000000" w:rsidR="00000000" w:rsidRPr="00000000">
        <w:rPr>
          <w:rFonts w:ascii="Times New Roman" w:cs="Times New Roman" w:eastAsia="Times New Roman" w:hAnsi="Times New Roman"/>
          <w:i w:val="1"/>
          <w:sz w:val="24"/>
          <w:szCs w:val="24"/>
          <w:rtl w:val="0"/>
        </w:rPr>
        <w:t xml:space="preserve">et al.</w:t>
      </w:r>
      <w:r w:rsidDel="00000000" w:rsidR="00000000" w:rsidRPr="00000000">
        <w:rPr>
          <w:rFonts w:ascii="Times New Roman" w:cs="Times New Roman" w:eastAsia="Times New Roman" w:hAnsi="Times New Roman"/>
          <w:sz w:val="24"/>
          <w:szCs w:val="24"/>
          <w:rtl w:val="0"/>
        </w:rPr>
        <w:t xml:space="preserve"> (2006) ‘Job performance deficits due to depression.’, </w:t>
      </w:r>
      <w:r w:rsidDel="00000000" w:rsidR="00000000" w:rsidRPr="00000000">
        <w:rPr>
          <w:rFonts w:ascii="Times New Roman" w:cs="Times New Roman" w:eastAsia="Times New Roman" w:hAnsi="Times New Roman"/>
          <w:i w:val="1"/>
          <w:sz w:val="24"/>
          <w:szCs w:val="24"/>
          <w:rtl w:val="0"/>
        </w:rPr>
        <w:t xml:space="preserve">The American journal of psychiatry</w:t>
      </w:r>
      <w:r w:rsidDel="00000000" w:rsidR="00000000" w:rsidRPr="00000000">
        <w:rPr>
          <w:rFonts w:ascii="Times New Roman" w:cs="Times New Roman" w:eastAsia="Times New Roman" w:hAnsi="Times New Roman"/>
          <w:sz w:val="24"/>
          <w:szCs w:val="24"/>
          <w:rtl w:val="0"/>
        </w:rPr>
        <w:t xml:space="preserve">, 163(9), pp. 1569–1576. doi: 10.1176/ajp.2006.163.9.1569.</w:t>
      </w:r>
    </w:p>
    <w:p w:rsidR="00000000" w:rsidDel="00000000" w:rsidP="00000000" w:rsidRDefault="00000000" w:rsidRPr="00000000" w14:paraId="000003F2">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Ahern, J., Stuber, J. and Galea, S. (2007) ‘Stigma, discrimination and the health of illicit drug users.’, </w:t>
      </w:r>
      <w:r w:rsidDel="00000000" w:rsidR="00000000" w:rsidRPr="00000000">
        <w:rPr>
          <w:rFonts w:ascii="Times New Roman" w:cs="Times New Roman" w:eastAsia="Times New Roman" w:hAnsi="Times New Roman"/>
          <w:i w:val="1"/>
          <w:sz w:val="24"/>
          <w:szCs w:val="24"/>
          <w:rtl w:val="0"/>
        </w:rPr>
        <w:t xml:space="preserve">Drug and alcohol dependence</w:t>
      </w:r>
      <w:r w:rsidDel="00000000" w:rsidR="00000000" w:rsidRPr="00000000">
        <w:rPr>
          <w:rFonts w:ascii="Times New Roman" w:cs="Times New Roman" w:eastAsia="Times New Roman" w:hAnsi="Times New Roman"/>
          <w:sz w:val="24"/>
          <w:szCs w:val="24"/>
          <w:rtl w:val="0"/>
        </w:rPr>
        <w:t xml:space="preserve">, 88(2–3), pp. 188–196. doi: 10.1016/j.drugalcdep.2006.10.014.</w:t>
      </w:r>
    </w:p>
    <w:p w:rsidR="00000000" w:rsidDel="00000000" w:rsidP="00000000" w:rsidRDefault="00000000" w:rsidRPr="00000000" w14:paraId="000003F3">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Aromaa, E. </w:t>
      </w:r>
      <w:r w:rsidDel="00000000" w:rsidR="00000000" w:rsidRPr="00000000">
        <w:rPr>
          <w:rFonts w:ascii="Times New Roman" w:cs="Times New Roman" w:eastAsia="Times New Roman" w:hAnsi="Times New Roman"/>
          <w:i w:val="1"/>
          <w:sz w:val="24"/>
          <w:szCs w:val="24"/>
          <w:rtl w:val="0"/>
        </w:rPr>
        <w:t xml:space="preserve">et al.</w:t>
      </w:r>
      <w:r w:rsidDel="00000000" w:rsidR="00000000" w:rsidRPr="00000000">
        <w:rPr>
          <w:rFonts w:ascii="Times New Roman" w:cs="Times New Roman" w:eastAsia="Times New Roman" w:hAnsi="Times New Roman"/>
          <w:sz w:val="24"/>
          <w:szCs w:val="24"/>
          <w:rtl w:val="0"/>
        </w:rPr>
        <w:t xml:space="preserve"> (2011) ‘Personal stigma and use of mental health services among people with depression in a general population in Finland’, </w:t>
      </w:r>
      <w:r w:rsidDel="00000000" w:rsidR="00000000" w:rsidRPr="00000000">
        <w:rPr>
          <w:rFonts w:ascii="Times New Roman" w:cs="Times New Roman" w:eastAsia="Times New Roman" w:hAnsi="Times New Roman"/>
          <w:i w:val="1"/>
          <w:sz w:val="24"/>
          <w:szCs w:val="24"/>
          <w:rtl w:val="0"/>
        </w:rPr>
        <w:t xml:space="preserve">BMC Psychiatry</w:t>
      </w:r>
      <w:r w:rsidDel="00000000" w:rsidR="00000000" w:rsidRPr="00000000">
        <w:rPr>
          <w:rFonts w:ascii="Times New Roman" w:cs="Times New Roman" w:eastAsia="Times New Roman" w:hAnsi="Times New Roman"/>
          <w:sz w:val="24"/>
          <w:szCs w:val="24"/>
          <w:rtl w:val="0"/>
        </w:rPr>
        <w:t xml:space="preserve">, 11(1), p. 52. doi: 10.1186/1471-244X-11-52.</w:t>
      </w:r>
    </w:p>
    <w:p w:rsidR="00000000" w:rsidDel="00000000" w:rsidP="00000000" w:rsidRDefault="00000000" w:rsidRPr="00000000" w14:paraId="000003F4">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Bachmann, S. (2018) ‘Epidemiology of Suicide and the Psychiatric Perspective.’, </w:t>
      </w:r>
      <w:r w:rsidDel="00000000" w:rsidR="00000000" w:rsidRPr="00000000">
        <w:rPr>
          <w:rFonts w:ascii="Times New Roman" w:cs="Times New Roman" w:eastAsia="Times New Roman" w:hAnsi="Times New Roman"/>
          <w:i w:val="1"/>
          <w:sz w:val="24"/>
          <w:szCs w:val="24"/>
          <w:rtl w:val="0"/>
        </w:rPr>
        <w:t xml:space="preserve">International journal of environmental research and public health</w:t>
      </w:r>
      <w:r w:rsidDel="00000000" w:rsidR="00000000" w:rsidRPr="00000000">
        <w:rPr>
          <w:rFonts w:ascii="Times New Roman" w:cs="Times New Roman" w:eastAsia="Times New Roman" w:hAnsi="Times New Roman"/>
          <w:sz w:val="24"/>
          <w:szCs w:val="24"/>
          <w:rtl w:val="0"/>
        </w:rPr>
        <w:t xml:space="preserve">, 15(7). doi: 10.3390/ijerph15071425.</w:t>
      </w:r>
    </w:p>
    <w:p w:rsidR="00000000" w:rsidDel="00000000" w:rsidP="00000000" w:rsidRDefault="00000000" w:rsidRPr="00000000" w14:paraId="000003F5">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van Beukering, I. E. </w:t>
      </w:r>
      <w:r w:rsidDel="00000000" w:rsidR="00000000" w:rsidRPr="00000000">
        <w:rPr>
          <w:rFonts w:ascii="Times New Roman" w:cs="Times New Roman" w:eastAsia="Times New Roman" w:hAnsi="Times New Roman"/>
          <w:i w:val="1"/>
          <w:sz w:val="24"/>
          <w:szCs w:val="24"/>
          <w:rtl w:val="0"/>
        </w:rPr>
        <w:t xml:space="preserve">et al.</w:t>
      </w:r>
      <w:r w:rsidDel="00000000" w:rsidR="00000000" w:rsidRPr="00000000">
        <w:rPr>
          <w:rFonts w:ascii="Times New Roman" w:cs="Times New Roman" w:eastAsia="Times New Roman" w:hAnsi="Times New Roman"/>
          <w:sz w:val="24"/>
          <w:szCs w:val="24"/>
          <w:rtl w:val="0"/>
        </w:rPr>
        <w:t xml:space="preserve"> (2021) ‘In What Ways Does Health Related Stigma Affect Sustainable Employment and Well-Being at Work? A Systematic Review’, </w:t>
      </w:r>
      <w:r w:rsidDel="00000000" w:rsidR="00000000" w:rsidRPr="00000000">
        <w:rPr>
          <w:rFonts w:ascii="Times New Roman" w:cs="Times New Roman" w:eastAsia="Times New Roman" w:hAnsi="Times New Roman"/>
          <w:i w:val="1"/>
          <w:sz w:val="24"/>
          <w:szCs w:val="24"/>
          <w:rtl w:val="0"/>
        </w:rPr>
        <w:t xml:space="preserve">Journal of Occupational Rehabilitation</w:t>
      </w:r>
      <w:r w:rsidDel="00000000" w:rsidR="00000000" w:rsidRPr="00000000">
        <w:rPr>
          <w:rFonts w:ascii="Times New Roman" w:cs="Times New Roman" w:eastAsia="Times New Roman" w:hAnsi="Times New Roman"/>
          <w:sz w:val="24"/>
          <w:szCs w:val="24"/>
          <w:rtl w:val="0"/>
        </w:rPr>
        <w:t xml:space="preserve">. doi: 10.1007/s10926-021-09998-z.</w:t>
      </w:r>
    </w:p>
    <w:p w:rsidR="00000000" w:rsidDel="00000000" w:rsidP="00000000" w:rsidRDefault="00000000" w:rsidRPr="00000000" w14:paraId="000003F6">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Bilanakis, N. </w:t>
      </w:r>
      <w:r w:rsidDel="00000000" w:rsidR="00000000" w:rsidRPr="00000000">
        <w:rPr>
          <w:rFonts w:ascii="Times New Roman" w:cs="Times New Roman" w:eastAsia="Times New Roman" w:hAnsi="Times New Roman"/>
          <w:i w:val="1"/>
          <w:sz w:val="24"/>
          <w:szCs w:val="24"/>
          <w:rtl w:val="0"/>
        </w:rPr>
        <w:t xml:space="preserve">et al.</w:t>
      </w:r>
      <w:r w:rsidDel="00000000" w:rsidR="00000000" w:rsidRPr="00000000">
        <w:rPr>
          <w:rFonts w:ascii="Times New Roman" w:cs="Times New Roman" w:eastAsia="Times New Roman" w:hAnsi="Times New Roman"/>
          <w:sz w:val="24"/>
          <w:szCs w:val="24"/>
          <w:rtl w:val="0"/>
        </w:rPr>
        <w:t xml:space="preserve"> (2010) ‘Use of coercive physical measures in a psychiatric ward of a general hospital in  Greece.’, </w:t>
      </w:r>
      <w:r w:rsidDel="00000000" w:rsidR="00000000" w:rsidRPr="00000000">
        <w:rPr>
          <w:rFonts w:ascii="Times New Roman" w:cs="Times New Roman" w:eastAsia="Times New Roman" w:hAnsi="Times New Roman"/>
          <w:i w:val="1"/>
          <w:sz w:val="24"/>
          <w:szCs w:val="24"/>
          <w:rtl w:val="0"/>
        </w:rPr>
        <w:t xml:space="preserve">The International journal of social psychiatry</w:t>
      </w:r>
      <w:r w:rsidDel="00000000" w:rsidR="00000000" w:rsidRPr="00000000">
        <w:rPr>
          <w:rFonts w:ascii="Times New Roman" w:cs="Times New Roman" w:eastAsia="Times New Roman" w:hAnsi="Times New Roman"/>
          <w:sz w:val="24"/>
          <w:szCs w:val="24"/>
          <w:rtl w:val="0"/>
        </w:rPr>
        <w:t xml:space="preserve">, 56(4), pp. 402–411. doi: 10.1177/0020764009106620.</w:t>
      </w:r>
    </w:p>
    <w:p w:rsidR="00000000" w:rsidDel="00000000" w:rsidP="00000000" w:rsidRDefault="00000000" w:rsidRPr="00000000" w14:paraId="000003F7">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Brådvik, L. (2018) ‘Suicide Risk and Mental Disorders’, </w:t>
      </w:r>
      <w:r w:rsidDel="00000000" w:rsidR="00000000" w:rsidRPr="00000000">
        <w:rPr>
          <w:rFonts w:ascii="Times New Roman" w:cs="Times New Roman" w:eastAsia="Times New Roman" w:hAnsi="Times New Roman"/>
          <w:i w:val="1"/>
          <w:sz w:val="24"/>
          <w:szCs w:val="24"/>
          <w:rtl w:val="0"/>
        </w:rPr>
        <w:t xml:space="preserve">International journal of environmental research and public health</w:t>
      </w:r>
      <w:r w:rsidDel="00000000" w:rsidR="00000000" w:rsidRPr="00000000">
        <w:rPr>
          <w:rFonts w:ascii="Times New Roman" w:cs="Times New Roman" w:eastAsia="Times New Roman" w:hAnsi="Times New Roman"/>
          <w:sz w:val="24"/>
          <w:szCs w:val="24"/>
          <w:rtl w:val="0"/>
        </w:rPr>
        <w:t xml:space="preserve">, 15(9), p. 2028. doi: 10.3390/ijerph15092028.</w:t>
      </w:r>
    </w:p>
    <w:p w:rsidR="00000000" w:rsidDel="00000000" w:rsidP="00000000" w:rsidRDefault="00000000" w:rsidRPr="00000000" w14:paraId="000003F8">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Van Brakel, W. H. (2006) ‘Measuring health-related stigma--a literature review.’, </w:t>
      </w:r>
      <w:r w:rsidDel="00000000" w:rsidR="00000000" w:rsidRPr="00000000">
        <w:rPr>
          <w:rFonts w:ascii="Times New Roman" w:cs="Times New Roman" w:eastAsia="Times New Roman" w:hAnsi="Times New Roman"/>
          <w:i w:val="1"/>
          <w:sz w:val="24"/>
          <w:szCs w:val="24"/>
          <w:rtl w:val="0"/>
        </w:rPr>
        <w:t xml:space="preserve">Psychology, health &amp; medicine</w:t>
      </w:r>
      <w:r w:rsidDel="00000000" w:rsidR="00000000" w:rsidRPr="00000000">
        <w:rPr>
          <w:rFonts w:ascii="Times New Roman" w:cs="Times New Roman" w:eastAsia="Times New Roman" w:hAnsi="Times New Roman"/>
          <w:sz w:val="24"/>
          <w:szCs w:val="24"/>
          <w:rtl w:val="0"/>
        </w:rPr>
        <w:t xml:space="preserve">, 11(3), pp. 307–334. doi: 10.1080/13548500600595160.</w:t>
      </w:r>
    </w:p>
    <w:p w:rsidR="00000000" w:rsidDel="00000000" w:rsidP="00000000" w:rsidRDefault="00000000" w:rsidRPr="00000000" w14:paraId="000003F9">
      <w:pPr>
        <w:spacing w:after="120" w:line="276"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Bloom, D.E. </w:t>
      </w:r>
      <w:r w:rsidDel="00000000" w:rsidR="00000000" w:rsidRPr="00000000">
        <w:rPr>
          <w:rFonts w:ascii="Times New Roman" w:cs="Times New Roman" w:eastAsia="Times New Roman" w:hAnsi="Times New Roman"/>
          <w:i w:val="1"/>
          <w:sz w:val="24"/>
          <w:szCs w:val="24"/>
          <w:rtl w:val="0"/>
        </w:rPr>
        <w:t xml:space="preserve">et al.</w:t>
      </w:r>
      <w:r w:rsidDel="00000000" w:rsidR="00000000" w:rsidRPr="00000000">
        <w:rPr>
          <w:rFonts w:ascii="Times New Roman" w:cs="Times New Roman" w:eastAsia="Times New Roman" w:hAnsi="Times New Roman"/>
          <w:sz w:val="24"/>
          <w:szCs w:val="24"/>
          <w:rtl w:val="0"/>
        </w:rPr>
        <w:t xml:space="preserve"> (2011) ‘The global economic burden of non-communicable diseases’. Geneva: World Economic Forum; 2011.</w:t>
      </w:r>
    </w:p>
    <w:p w:rsidR="00000000" w:rsidDel="00000000" w:rsidP="00000000" w:rsidRDefault="00000000" w:rsidRPr="00000000" w14:paraId="000003FA">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Brouwers, E. P. M. (2020) ‘Social stigma is an underestimated contributing factor to unemployment in people with mental illness or mental health issues: position paper and future directions’, </w:t>
      </w:r>
      <w:r w:rsidDel="00000000" w:rsidR="00000000" w:rsidRPr="00000000">
        <w:rPr>
          <w:rFonts w:ascii="Times New Roman" w:cs="Times New Roman" w:eastAsia="Times New Roman" w:hAnsi="Times New Roman"/>
          <w:i w:val="1"/>
          <w:sz w:val="24"/>
          <w:szCs w:val="24"/>
          <w:rtl w:val="0"/>
        </w:rPr>
        <w:t xml:space="preserve">BMC Psychology</w:t>
      </w:r>
      <w:r w:rsidDel="00000000" w:rsidR="00000000" w:rsidRPr="00000000">
        <w:rPr>
          <w:rFonts w:ascii="Times New Roman" w:cs="Times New Roman" w:eastAsia="Times New Roman" w:hAnsi="Times New Roman"/>
          <w:sz w:val="24"/>
          <w:szCs w:val="24"/>
          <w:rtl w:val="0"/>
        </w:rPr>
        <w:t xml:space="preserve">, 8(1), p. 36. doi: 10.1186/s40359-020-00399-0.</w:t>
      </w:r>
    </w:p>
    <w:p w:rsidR="00000000" w:rsidDel="00000000" w:rsidP="00000000" w:rsidRDefault="00000000" w:rsidRPr="00000000" w14:paraId="000003FB">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Brown, S., Inskip, H. and Barraclough, B. (2000) ‘Causes of the excess mortality of schizophrenia.’, </w:t>
      </w:r>
      <w:r w:rsidDel="00000000" w:rsidR="00000000" w:rsidRPr="00000000">
        <w:rPr>
          <w:rFonts w:ascii="Times New Roman" w:cs="Times New Roman" w:eastAsia="Times New Roman" w:hAnsi="Times New Roman"/>
          <w:i w:val="1"/>
          <w:sz w:val="24"/>
          <w:szCs w:val="24"/>
          <w:rtl w:val="0"/>
        </w:rPr>
        <w:t xml:space="preserve">The British journal of psychiatry : the journal of mental science</w:t>
      </w:r>
      <w:r w:rsidDel="00000000" w:rsidR="00000000" w:rsidRPr="00000000">
        <w:rPr>
          <w:rFonts w:ascii="Times New Roman" w:cs="Times New Roman" w:eastAsia="Times New Roman" w:hAnsi="Times New Roman"/>
          <w:sz w:val="24"/>
          <w:szCs w:val="24"/>
          <w:rtl w:val="0"/>
        </w:rPr>
        <w:t xml:space="preserve">, 177, pp. 212–217. doi: 10.1192/bjp.177.3.212.</w:t>
      </w:r>
    </w:p>
    <w:p w:rsidR="00000000" w:rsidDel="00000000" w:rsidP="00000000" w:rsidRDefault="00000000" w:rsidRPr="00000000" w14:paraId="000003FC">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Chesney, E., Goodwin, G. M. and Fazel, S. (2014) ‘Risks of all-cause and suicide mortality in mental disorders: a meta-review.’, </w:t>
      </w:r>
      <w:r w:rsidDel="00000000" w:rsidR="00000000" w:rsidRPr="00000000">
        <w:rPr>
          <w:rFonts w:ascii="Times New Roman" w:cs="Times New Roman" w:eastAsia="Times New Roman" w:hAnsi="Times New Roman"/>
          <w:i w:val="1"/>
          <w:sz w:val="24"/>
          <w:szCs w:val="24"/>
          <w:rtl w:val="0"/>
        </w:rPr>
        <w:t xml:space="preserve">World psychiatry : official journal of the World Psychiatric Association (WPA)</w:t>
      </w:r>
      <w:r w:rsidDel="00000000" w:rsidR="00000000" w:rsidRPr="00000000">
        <w:rPr>
          <w:rFonts w:ascii="Times New Roman" w:cs="Times New Roman" w:eastAsia="Times New Roman" w:hAnsi="Times New Roman"/>
          <w:sz w:val="24"/>
          <w:szCs w:val="24"/>
          <w:rtl w:val="0"/>
        </w:rPr>
        <w:t xml:space="preserve">, 13(2), pp. 153–160. doi: 10.1002/wps.20128.</w:t>
      </w:r>
    </w:p>
    <w:p w:rsidR="00000000" w:rsidDel="00000000" w:rsidP="00000000" w:rsidRDefault="00000000" w:rsidRPr="00000000" w14:paraId="000003FD">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Chisholm, D. </w:t>
      </w:r>
      <w:r w:rsidDel="00000000" w:rsidR="00000000" w:rsidRPr="00000000">
        <w:rPr>
          <w:rFonts w:ascii="Times New Roman" w:cs="Times New Roman" w:eastAsia="Times New Roman" w:hAnsi="Times New Roman"/>
          <w:i w:val="1"/>
          <w:sz w:val="24"/>
          <w:szCs w:val="24"/>
          <w:rtl w:val="0"/>
        </w:rPr>
        <w:t xml:space="preserve">et al.</w:t>
      </w:r>
      <w:r w:rsidDel="00000000" w:rsidR="00000000" w:rsidRPr="00000000">
        <w:rPr>
          <w:rFonts w:ascii="Times New Roman" w:cs="Times New Roman" w:eastAsia="Times New Roman" w:hAnsi="Times New Roman"/>
          <w:sz w:val="24"/>
          <w:szCs w:val="24"/>
          <w:rtl w:val="0"/>
        </w:rPr>
        <w:t xml:space="preserve"> (2003) ‘Depression status, medical comorbidity and resource costs. Evidence from an  international study of major depression in primary care (LIDO).’, </w:t>
      </w:r>
      <w:r w:rsidDel="00000000" w:rsidR="00000000" w:rsidRPr="00000000">
        <w:rPr>
          <w:rFonts w:ascii="Times New Roman" w:cs="Times New Roman" w:eastAsia="Times New Roman" w:hAnsi="Times New Roman"/>
          <w:i w:val="1"/>
          <w:sz w:val="24"/>
          <w:szCs w:val="24"/>
          <w:rtl w:val="0"/>
        </w:rPr>
        <w:t xml:space="preserve">The British journal of psychiatry : the journal of mental science</w:t>
      </w:r>
      <w:r w:rsidDel="00000000" w:rsidR="00000000" w:rsidRPr="00000000">
        <w:rPr>
          <w:rFonts w:ascii="Times New Roman" w:cs="Times New Roman" w:eastAsia="Times New Roman" w:hAnsi="Times New Roman"/>
          <w:sz w:val="24"/>
          <w:szCs w:val="24"/>
          <w:rtl w:val="0"/>
        </w:rPr>
        <w:t xml:space="preserve">, 183, pp. 121–131. doi: 10.1192/bjp.183.2.121.</w:t>
      </w:r>
    </w:p>
    <w:p w:rsidR="00000000" w:rsidDel="00000000" w:rsidP="00000000" w:rsidRDefault="00000000" w:rsidRPr="00000000" w14:paraId="000003FE">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Chisholm, D. </w:t>
      </w:r>
      <w:r w:rsidDel="00000000" w:rsidR="00000000" w:rsidRPr="00000000">
        <w:rPr>
          <w:rFonts w:ascii="Times New Roman" w:cs="Times New Roman" w:eastAsia="Times New Roman" w:hAnsi="Times New Roman"/>
          <w:i w:val="1"/>
          <w:sz w:val="24"/>
          <w:szCs w:val="24"/>
          <w:rtl w:val="0"/>
        </w:rPr>
        <w:t xml:space="preserve">et al.</w:t>
      </w:r>
      <w:r w:rsidDel="00000000" w:rsidR="00000000" w:rsidRPr="00000000">
        <w:rPr>
          <w:rFonts w:ascii="Times New Roman" w:cs="Times New Roman" w:eastAsia="Times New Roman" w:hAnsi="Times New Roman"/>
          <w:sz w:val="24"/>
          <w:szCs w:val="24"/>
          <w:rtl w:val="0"/>
        </w:rPr>
        <w:t xml:space="preserve"> (2016) ‘Scaling-up treatment of depression and anxiety: a global return on investment analysis’, </w:t>
      </w:r>
      <w:r w:rsidDel="00000000" w:rsidR="00000000" w:rsidRPr="00000000">
        <w:rPr>
          <w:rFonts w:ascii="Times New Roman" w:cs="Times New Roman" w:eastAsia="Times New Roman" w:hAnsi="Times New Roman"/>
          <w:i w:val="1"/>
          <w:sz w:val="24"/>
          <w:szCs w:val="24"/>
          <w:rtl w:val="0"/>
        </w:rPr>
        <w:t xml:space="preserve">The Lancet Psychiatry</w:t>
      </w:r>
      <w:r w:rsidDel="00000000" w:rsidR="00000000" w:rsidRPr="00000000">
        <w:rPr>
          <w:rFonts w:ascii="Times New Roman" w:cs="Times New Roman" w:eastAsia="Times New Roman" w:hAnsi="Times New Roman"/>
          <w:sz w:val="24"/>
          <w:szCs w:val="24"/>
          <w:rtl w:val="0"/>
        </w:rPr>
        <w:t xml:space="preserve">, 3(5), pp. 415–424. doi: 10.1016/S2215-0366(16)30024-4.</w:t>
      </w:r>
    </w:p>
    <w:p w:rsidR="00000000" w:rsidDel="00000000" w:rsidP="00000000" w:rsidRDefault="00000000" w:rsidRPr="00000000" w14:paraId="000003FF">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Chisholm, D. and Saxena, S. (2012) ‘Cost effectiveness of strategies to combat neuropsychiatric conditions in sub-Saharan Africa and South East Asia: mathematical modelling study’, </w:t>
      </w:r>
      <w:r w:rsidDel="00000000" w:rsidR="00000000" w:rsidRPr="00000000">
        <w:rPr>
          <w:rFonts w:ascii="Times New Roman" w:cs="Times New Roman" w:eastAsia="Times New Roman" w:hAnsi="Times New Roman"/>
          <w:i w:val="1"/>
          <w:sz w:val="24"/>
          <w:szCs w:val="24"/>
          <w:rtl w:val="0"/>
        </w:rPr>
        <w:t xml:space="preserve">BMJ</w:t>
      </w:r>
      <w:r w:rsidDel="00000000" w:rsidR="00000000" w:rsidRPr="00000000">
        <w:rPr>
          <w:rFonts w:ascii="Times New Roman" w:cs="Times New Roman" w:eastAsia="Times New Roman" w:hAnsi="Times New Roman"/>
          <w:sz w:val="24"/>
          <w:szCs w:val="24"/>
          <w:rtl w:val="0"/>
        </w:rPr>
        <w:t xml:space="preserve">, 344, p. e609. doi: 10.1136/bmj.e609.</w:t>
      </w:r>
    </w:p>
    <w:p w:rsidR="00000000" w:rsidDel="00000000" w:rsidP="00000000" w:rsidRDefault="00000000" w:rsidRPr="00000000" w14:paraId="00000400">
      <w:pPr>
        <w:spacing w:after="120" w:line="276"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Chondros, P. </w:t>
      </w:r>
      <w:r w:rsidDel="00000000" w:rsidR="00000000" w:rsidRPr="00000000">
        <w:rPr>
          <w:rFonts w:ascii="Times New Roman" w:cs="Times New Roman" w:eastAsia="Times New Roman" w:hAnsi="Times New Roman"/>
          <w:i w:val="1"/>
          <w:sz w:val="24"/>
          <w:szCs w:val="24"/>
          <w:rtl w:val="0"/>
        </w:rPr>
        <w:t xml:space="preserve">et al.</w:t>
      </w:r>
      <w:r w:rsidDel="00000000" w:rsidR="00000000" w:rsidRPr="00000000">
        <w:rPr>
          <w:rFonts w:ascii="Times New Roman" w:cs="Times New Roman" w:eastAsia="Times New Roman" w:hAnsi="Times New Roman"/>
          <w:sz w:val="24"/>
          <w:szCs w:val="24"/>
          <w:rtl w:val="0"/>
        </w:rPr>
        <w:t xml:space="preserve"> (2010). ‘Protecting basic rights of mental health services users: facing a structural crisis in Greece’., </w:t>
      </w:r>
      <w:r w:rsidDel="00000000" w:rsidR="00000000" w:rsidRPr="00000000">
        <w:rPr>
          <w:rFonts w:ascii="Times New Roman" w:cs="Times New Roman" w:eastAsia="Times New Roman" w:hAnsi="Times New Roman"/>
          <w:i w:val="1"/>
          <w:sz w:val="24"/>
          <w:szCs w:val="24"/>
          <w:rtl w:val="0"/>
        </w:rPr>
        <w:t xml:space="preserve">International Congress “Lifelong Learning &amp; Empowerment in Mental Health</w:t>
      </w:r>
      <w:r w:rsidDel="00000000" w:rsidR="00000000" w:rsidRPr="00000000">
        <w:rPr>
          <w:rFonts w:ascii="Times New Roman" w:cs="Times New Roman" w:eastAsia="Times New Roman" w:hAnsi="Times New Roman"/>
          <w:sz w:val="24"/>
          <w:szCs w:val="24"/>
          <w:rtl w:val="0"/>
        </w:rPr>
        <w:t xml:space="preserve">” Paris, 11-12 February 2011.</w:t>
      </w:r>
    </w:p>
    <w:p w:rsidR="00000000" w:rsidDel="00000000" w:rsidP="00000000" w:rsidRDefault="00000000" w:rsidRPr="00000000" w14:paraId="00000401">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Clement, S. </w:t>
      </w:r>
      <w:r w:rsidDel="00000000" w:rsidR="00000000" w:rsidRPr="00000000">
        <w:rPr>
          <w:rFonts w:ascii="Times New Roman" w:cs="Times New Roman" w:eastAsia="Times New Roman" w:hAnsi="Times New Roman"/>
          <w:i w:val="1"/>
          <w:sz w:val="24"/>
          <w:szCs w:val="24"/>
          <w:rtl w:val="0"/>
        </w:rPr>
        <w:t xml:space="preserve">et al.</w:t>
      </w:r>
      <w:r w:rsidDel="00000000" w:rsidR="00000000" w:rsidRPr="00000000">
        <w:rPr>
          <w:rFonts w:ascii="Times New Roman" w:cs="Times New Roman" w:eastAsia="Times New Roman" w:hAnsi="Times New Roman"/>
          <w:sz w:val="24"/>
          <w:szCs w:val="24"/>
          <w:rtl w:val="0"/>
        </w:rPr>
        <w:t xml:space="preserve"> (2015) ‘What is the impact of mental health-related stigma on help-seeking? A systematic  review of quantitative and qualitative studies.’, </w:t>
      </w:r>
      <w:r w:rsidDel="00000000" w:rsidR="00000000" w:rsidRPr="00000000">
        <w:rPr>
          <w:rFonts w:ascii="Times New Roman" w:cs="Times New Roman" w:eastAsia="Times New Roman" w:hAnsi="Times New Roman"/>
          <w:i w:val="1"/>
          <w:sz w:val="24"/>
          <w:szCs w:val="24"/>
          <w:rtl w:val="0"/>
        </w:rPr>
        <w:t xml:space="preserve">Psychological medicine</w:t>
      </w:r>
      <w:r w:rsidDel="00000000" w:rsidR="00000000" w:rsidRPr="00000000">
        <w:rPr>
          <w:rFonts w:ascii="Times New Roman" w:cs="Times New Roman" w:eastAsia="Times New Roman" w:hAnsi="Times New Roman"/>
          <w:sz w:val="24"/>
          <w:szCs w:val="24"/>
          <w:rtl w:val="0"/>
        </w:rPr>
        <w:t xml:space="preserve">, 45(1), pp. 11–27. doi: 10.1017/S0033291714000129.</w:t>
      </w:r>
    </w:p>
    <w:p w:rsidR="00000000" w:rsidDel="00000000" w:rsidP="00000000" w:rsidRDefault="00000000" w:rsidRPr="00000000" w14:paraId="00000402">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Coburn, C. (2019) ‘Mental health in Finnish schools: so close to perfection’, </w:t>
      </w:r>
      <w:r w:rsidDel="00000000" w:rsidR="00000000" w:rsidRPr="00000000">
        <w:rPr>
          <w:rFonts w:ascii="Times New Roman" w:cs="Times New Roman" w:eastAsia="Times New Roman" w:hAnsi="Times New Roman"/>
          <w:i w:val="1"/>
          <w:sz w:val="24"/>
          <w:szCs w:val="24"/>
          <w:rtl w:val="0"/>
        </w:rPr>
        <w:t xml:space="preserve">The Lancet Child &amp; Adolescent Health</w:t>
      </w:r>
      <w:r w:rsidDel="00000000" w:rsidR="00000000" w:rsidRPr="00000000">
        <w:rPr>
          <w:rFonts w:ascii="Times New Roman" w:cs="Times New Roman" w:eastAsia="Times New Roman" w:hAnsi="Times New Roman"/>
          <w:sz w:val="24"/>
          <w:szCs w:val="24"/>
          <w:rtl w:val="0"/>
        </w:rPr>
        <w:t xml:space="preserve">, 3(12), pp. 848–849. doi: 10.1016/S2352-4642(19)30274-3.</w:t>
      </w:r>
    </w:p>
    <w:p w:rsidR="00000000" w:rsidDel="00000000" w:rsidP="00000000" w:rsidRDefault="00000000" w:rsidRPr="00000000" w14:paraId="00000403">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Cuijpers, P. and Smit, F. (2002) ‘Excess mortality in depression: a meta-analysis of community studies.’, </w:t>
      </w:r>
      <w:r w:rsidDel="00000000" w:rsidR="00000000" w:rsidRPr="00000000">
        <w:rPr>
          <w:rFonts w:ascii="Times New Roman" w:cs="Times New Roman" w:eastAsia="Times New Roman" w:hAnsi="Times New Roman"/>
          <w:i w:val="1"/>
          <w:sz w:val="24"/>
          <w:szCs w:val="24"/>
          <w:rtl w:val="0"/>
        </w:rPr>
        <w:t xml:space="preserve">Journal of affective disorders</w:t>
      </w:r>
      <w:r w:rsidDel="00000000" w:rsidR="00000000" w:rsidRPr="00000000">
        <w:rPr>
          <w:rFonts w:ascii="Times New Roman" w:cs="Times New Roman" w:eastAsia="Times New Roman" w:hAnsi="Times New Roman"/>
          <w:sz w:val="24"/>
          <w:szCs w:val="24"/>
          <w:rtl w:val="0"/>
        </w:rPr>
        <w:t xml:space="preserve">, 72(3), pp. 227–236. doi: 10.1016/s0165-0327(01)00413-x.</w:t>
      </w:r>
    </w:p>
    <w:p w:rsidR="00000000" w:rsidDel="00000000" w:rsidP="00000000" w:rsidRDefault="00000000" w:rsidRPr="00000000" w14:paraId="00000404">
      <w:pPr>
        <w:spacing w:after="120" w:line="276"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Economou C. </w:t>
      </w:r>
      <w:r w:rsidDel="00000000" w:rsidR="00000000" w:rsidRPr="00000000">
        <w:rPr>
          <w:rFonts w:ascii="Times New Roman" w:cs="Times New Roman" w:eastAsia="Times New Roman" w:hAnsi="Times New Roman"/>
          <w:i w:val="1"/>
          <w:sz w:val="24"/>
          <w:szCs w:val="24"/>
          <w:rtl w:val="0"/>
        </w:rPr>
        <w:t xml:space="preserve">et al.</w:t>
      </w:r>
      <w:r w:rsidDel="00000000" w:rsidR="00000000" w:rsidRPr="00000000">
        <w:rPr>
          <w:rFonts w:ascii="Times New Roman" w:cs="Times New Roman" w:eastAsia="Times New Roman" w:hAnsi="Times New Roman"/>
          <w:sz w:val="24"/>
          <w:szCs w:val="24"/>
          <w:rtl w:val="0"/>
        </w:rPr>
        <w:t xml:space="preserve"> (2017) ‘Greece: Health system review’. </w:t>
      </w:r>
      <w:r w:rsidDel="00000000" w:rsidR="00000000" w:rsidRPr="00000000">
        <w:rPr>
          <w:rFonts w:ascii="Times New Roman" w:cs="Times New Roman" w:eastAsia="Times New Roman" w:hAnsi="Times New Roman"/>
          <w:i w:val="1"/>
          <w:sz w:val="24"/>
          <w:szCs w:val="24"/>
          <w:rtl w:val="0"/>
        </w:rPr>
        <w:t xml:space="preserve">Health Systems in Transition</w:t>
      </w:r>
      <w:r w:rsidDel="00000000" w:rsidR="00000000" w:rsidRPr="00000000">
        <w:rPr>
          <w:rFonts w:ascii="Times New Roman" w:cs="Times New Roman" w:eastAsia="Times New Roman" w:hAnsi="Times New Roman"/>
          <w:sz w:val="24"/>
          <w:szCs w:val="24"/>
          <w:rtl w:val="0"/>
        </w:rPr>
        <w:t xml:space="preserve">. 19(5), pp.1–192.</w:t>
      </w:r>
    </w:p>
    <w:p w:rsidR="00000000" w:rsidDel="00000000" w:rsidP="00000000" w:rsidRDefault="00000000" w:rsidRPr="00000000" w14:paraId="00000405">
      <w:pPr>
        <w:spacing w:after="120" w:line="276"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EU Compass for Action on Mental Health and Well-Being. (2017) ‘</w:t>
      </w:r>
      <w:r w:rsidDel="00000000" w:rsidR="00000000" w:rsidRPr="00000000">
        <w:rPr>
          <w:rFonts w:ascii="Times New Roman" w:cs="Times New Roman" w:eastAsia="Times New Roman" w:hAnsi="Times New Roman"/>
          <w:i w:val="1"/>
          <w:sz w:val="24"/>
          <w:szCs w:val="24"/>
          <w:rtl w:val="0"/>
        </w:rPr>
        <w:t xml:space="preserve">Mental Health in the Workplace in Europe - Consensus Paper’</w:t>
      </w:r>
      <w:r w:rsidDel="00000000" w:rsidR="00000000" w:rsidRPr="00000000">
        <w:rPr>
          <w:rFonts w:ascii="Times New Roman" w:cs="Times New Roman" w:eastAsia="Times New Roman" w:hAnsi="Times New Roman"/>
          <w:sz w:val="24"/>
          <w:szCs w:val="24"/>
          <w:rtl w:val="0"/>
        </w:rPr>
        <w:t xml:space="preserve">, https://ec.europa.eu/health/sites/health/files/mental_health/docs/compass_2017workplace_en.pdf  (Πρόσβαση στις 7 Ιανουαρίου 2022).</w:t>
      </w:r>
    </w:p>
    <w:p w:rsidR="00000000" w:rsidDel="00000000" w:rsidP="00000000" w:rsidRDefault="00000000" w:rsidRPr="00000000" w14:paraId="00000406">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Evans-Lacko, S. </w:t>
      </w:r>
      <w:r w:rsidDel="00000000" w:rsidR="00000000" w:rsidRPr="00000000">
        <w:rPr>
          <w:rFonts w:ascii="Times New Roman" w:cs="Times New Roman" w:eastAsia="Times New Roman" w:hAnsi="Times New Roman"/>
          <w:i w:val="1"/>
          <w:sz w:val="24"/>
          <w:szCs w:val="24"/>
          <w:rtl w:val="0"/>
        </w:rPr>
        <w:t xml:space="preserve">et al.</w:t>
      </w:r>
      <w:r w:rsidDel="00000000" w:rsidR="00000000" w:rsidRPr="00000000">
        <w:rPr>
          <w:rFonts w:ascii="Times New Roman" w:cs="Times New Roman" w:eastAsia="Times New Roman" w:hAnsi="Times New Roman"/>
          <w:sz w:val="24"/>
          <w:szCs w:val="24"/>
          <w:rtl w:val="0"/>
        </w:rPr>
        <w:t xml:space="preserve"> (2013) ‘The Mental Health Consequences of the Recession: Economic Hardship and Employment of People with Mental Health Problems in 27 European Countries’, </w:t>
      </w:r>
      <w:r w:rsidDel="00000000" w:rsidR="00000000" w:rsidRPr="00000000">
        <w:rPr>
          <w:rFonts w:ascii="Times New Roman" w:cs="Times New Roman" w:eastAsia="Times New Roman" w:hAnsi="Times New Roman"/>
          <w:i w:val="1"/>
          <w:sz w:val="24"/>
          <w:szCs w:val="24"/>
          <w:rtl w:val="0"/>
        </w:rPr>
        <w:t xml:space="preserve">PLOS ONE</w:t>
      </w:r>
      <w:r w:rsidDel="00000000" w:rsidR="00000000" w:rsidRPr="00000000">
        <w:rPr>
          <w:rFonts w:ascii="Times New Roman" w:cs="Times New Roman" w:eastAsia="Times New Roman" w:hAnsi="Times New Roman"/>
          <w:sz w:val="24"/>
          <w:szCs w:val="24"/>
          <w:rtl w:val="0"/>
        </w:rPr>
        <w:t xml:space="preserve">, 8(7), p. e69792. Available at: https://doi.org/10.1371/journal.pone.0069792.</w:t>
      </w:r>
    </w:p>
    <w:p w:rsidR="00000000" w:rsidDel="00000000" w:rsidP="00000000" w:rsidRDefault="00000000" w:rsidRPr="00000000" w14:paraId="00000407">
      <w:pPr>
        <w:spacing w:after="120" w:line="276"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Forti, A. (2014) ‘Mental Health Analysis Profiles (MhAPs): Italy’., </w:t>
      </w:r>
      <w:r w:rsidDel="00000000" w:rsidR="00000000" w:rsidRPr="00000000">
        <w:rPr>
          <w:rFonts w:ascii="Times New Roman" w:cs="Times New Roman" w:eastAsia="Times New Roman" w:hAnsi="Times New Roman"/>
          <w:i w:val="1"/>
          <w:sz w:val="24"/>
          <w:szCs w:val="24"/>
          <w:rtl w:val="0"/>
        </w:rPr>
        <w:t xml:space="preserve">OECD Health Working Papers, No. 71</w:t>
      </w:r>
      <w:r w:rsidDel="00000000" w:rsidR="00000000" w:rsidRPr="00000000">
        <w:rPr>
          <w:rFonts w:ascii="Times New Roman" w:cs="Times New Roman" w:eastAsia="Times New Roman" w:hAnsi="Times New Roman"/>
          <w:sz w:val="24"/>
          <w:szCs w:val="24"/>
          <w:rtl w:val="0"/>
        </w:rPr>
        <w:t xml:space="preserve">, OECD Publishing, Paris, https://dx.doi.org/10.1787/5jz15922hmd4-en.</w:t>
      </w:r>
    </w:p>
    <w:p w:rsidR="00000000" w:rsidDel="00000000" w:rsidP="00000000" w:rsidRDefault="00000000" w:rsidRPr="00000000" w14:paraId="00000408">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Fuller, R. </w:t>
      </w:r>
      <w:r w:rsidDel="00000000" w:rsidR="00000000" w:rsidRPr="00000000">
        <w:rPr>
          <w:rFonts w:ascii="Times New Roman" w:cs="Times New Roman" w:eastAsia="Times New Roman" w:hAnsi="Times New Roman"/>
          <w:i w:val="1"/>
          <w:sz w:val="24"/>
          <w:szCs w:val="24"/>
          <w:rtl w:val="0"/>
        </w:rPr>
        <w:t xml:space="preserve">et al.</w:t>
      </w:r>
      <w:r w:rsidDel="00000000" w:rsidR="00000000" w:rsidRPr="00000000">
        <w:rPr>
          <w:rFonts w:ascii="Times New Roman" w:cs="Times New Roman" w:eastAsia="Times New Roman" w:hAnsi="Times New Roman"/>
          <w:sz w:val="24"/>
          <w:szCs w:val="24"/>
          <w:rtl w:val="0"/>
        </w:rPr>
        <w:t xml:space="preserve"> (2002) ‘Longitudinal assessment of premorbid cognitive functioning in patients with  schizophrenia through examination of standardized scholastic test performance.’, </w:t>
      </w:r>
      <w:r w:rsidDel="00000000" w:rsidR="00000000" w:rsidRPr="00000000">
        <w:rPr>
          <w:rFonts w:ascii="Times New Roman" w:cs="Times New Roman" w:eastAsia="Times New Roman" w:hAnsi="Times New Roman"/>
          <w:i w:val="1"/>
          <w:sz w:val="24"/>
          <w:szCs w:val="24"/>
          <w:rtl w:val="0"/>
        </w:rPr>
        <w:t xml:space="preserve">The American journal of psychiatry</w:t>
      </w:r>
      <w:r w:rsidDel="00000000" w:rsidR="00000000" w:rsidRPr="00000000">
        <w:rPr>
          <w:rFonts w:ascii="Times New Roman" w:cs="Times New Roman" w:eastAsia="Times New Roman" w:hAnsi="Times New Roman"/>
          <w:sz w:val="24"/>
          <w:szCs w:val="24"/>
          <w:rtl w:val="0"/>
        </w:rPr>
        <w:t xml:space="preserve">, 159(7), pp. 1183–1189. doi: 10.1176/appi.ajp.159.7.1183.</w:t>
      </w:r>
    </w:p>
    <w:p w:rsidR="00000000" w:rsidDel="00000000" w:rsidP="00000000" w:rsidRDefault="00000000" w:rsidRPr="00000000" w14:paraId="00000409">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Giannakopoulos, G. and Anagnostopoulos, D. C. (2016a) ‘Psychiatric reform in Greece: an overview.’, </w:t>
      </w:r>
      <w:r w:rsidDel="00000000" w:rsidR="00000000" w:rsidRPr="00000000">
        <w:rPr>
          <w:rFonts w:ascii="Times New Roman" w:cs="Times New Roman" w:eastAsia="Times New Roman" w:hAnsi="Times New Roman"/>
          <w:i w:val="1"/>
          <w:sz w:val="24"/>
          <w:szCs w:val="24"/>
          <w:rtl w:val="0"/>
        </w:rPr>
        <w:t xml:space="preserve">BJPsych bulletin</w:t>
      </w:r>
      <w:r w:rsidDel="00000000" w:rsidR="00000000" w:rsidRPr="00000000">
        <w:rPr>
          <w:rFonts w:ascii="Times New Roman" w:cs="Times New Roman" w:eastAsia="Times New Roman" w:hAnsi="Times New Roman"/>
          <w:sz w:val="24"/>
          <w:szCs w:val="24"/>
          <w:rtl w:val="0"/>
        </w:rPr>
        <w:t xml:space="preserve">, 40(6), pp. 326–328. doi: 10.1192/pb.bp.116.053652.</w:t>
      </w:r>
    </w:p>
    <w:p w:rsidR="00000000" w:rsidDel="00000000" w:rsidP="00000000" w:rsidRDefault="00000000" w:rsidRPr="00000000" w14:paraId="0000040A">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Giannakopoulos, G. and Anagnostopoulos, D. C. (2016b) ‘Psychiatric reform in Greece: an overview’, </w:t>
      </w:r>
      <w:r w:rsidDel="00000000" w:rsidR="00000000" w:rsidRPr="00000000">
        <w:rPr>
          <w:rFonts w:ascii="Times New Roman" w:cs="Times New Roman" w:eastAsia="Times New Roman" w:hAnsi="Times New Roman"/>
          <w:i w:val="1"/>
          <w:sz w:val="24"/>
          <w:szCs w:val="24"/>
          <w:rtl w:val="0"/>
        </w:rPr>
        <w:t xml:space="preserve">BJPsych bulletin</w:t>
      </w:r>
      <w:r w:rsidDel="00000000" w:rsidR="00000000" w:rsidRPr="00000000">
        <w:rPr>
          <w:rFonts w:ascii="Times New Roman" w:cs="Times New Roman" w:eastAsia="Times New Roman" w:hAnsi="Times New Roman"/>
          <w:sz w:val="24"/>
          <w:szCs w:val="24"/>
          <w:rtl w:val="0"/>
        </w:rPr>
        <w:t xml:space="preserve">, 40(6), pp. 326–328. doi: 10.1192/pb.bp.116.053652.</w:t>
      </w:r>
    </w:p>
    <w:p w:rsidR="00000000" w:rsidDel="00000000" w:rsidP="00000000" w:rsidRDefault="00000000" w:rsidRPr="00000000" w14:paraId="0000040B">
      <w:pPr>
        <w:spacing w:after="120" w:line="276"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Ghiasi,  N. </w:t>
      </w:r>
      <w:r w:rsidDel="00000000" w:rsidR="00000000" w:rsidRPr="00000000">
        <w:rPr>
          <w:rFonts w:ascii="Times New Roman" w:cs="Times New Roman" w:eastAsia="Times New Roman" w:hAnsi="Times New Roman"/>
          <w:i w:val="1"/>
          <w:sz w:val="24"/>
          <w:szCs w:val="24"/>
          <w:rtl w:val="0"/>
        </w:rPr>
        <w:t xml:space="preserve">et al.</w:t>
      </w:r>
      <w:r w:rsidDel="00000000" w:rsidR="00000000" w:rsidRPr="00000000">
        <w:rPr>
          <w:rFonts w:ascii="Times New Roman" w:cs="Times New Roman" w:eastAsia="Times New Roman" w:hAnsi="Times New Roman"/>
          <w:sz w:val="24"/>
          <w:szCs w:val="24"/>
          <w:rtl w:val="0"/>
        </w:rPr>
        <w:t xml:space="preserve"> (2022) ‘Psychiatric Illness And Criminality. [Updated 2022 Jan 15]. In: </w:t>
      </w:r>
      <w:r w:rsidDel="00000000" w:rsidR="00000000" w:rsidRPr="00000000">
        <w:rPr>
          <w:rFonts w:ascii="Times New Roman" w:cs="Times New Roman" w:eastAsia="Times New Roman" w:hAnsi="Times New Roman"/>
          <w:i w:val="1"/>
          <w:sz w:val="24"/>
          <w:szCs w:val="24"/>
          <w:rtl w:val="0"/>
        </w:rPr>
        <w:t xml:space="preserve">StatPearls</w:t>
      </w:r>
      <w:r w:rsidDel="00000000" w:rsidR="00000000" w:rsidRPr="00000000">
        <w:rPr>
          <w:rFonts w:ascii="Times New Roman" w:cs="Times New Roman" w:eastAsia="Times New Roman" w:hAnsi="Times New Roman"/>
          <w:sz w:val="24"/>
          <w:szCs w:val="24"/>
          <w:rtl w:val="0"/>
        </w:rPr>
        <w:t xml:space="preserve"> [Internet]. Treasure Island (FL): StatPearls Publishing; 2022 Jan-. Διαθέσιμο στο: https://www.ncbi.nlm.nih.gov/books/NBK537064/</w:t>
      </w:r>
    </w:p>
    <w:p w:rsidR="00000000" w:rsidDel="00000000" w:rsidP="00000000" w:rsidRDefault="00000000" w:rsidRPr="00000000" w14:paraId="0000040C">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Girma, E. </w:t>
      </w:r>
      <w:r w:rsidDel="00000000" w:rsidR="00000000" w:rsidRPr="00000000">
        <w:rPr>
          <w:rFonts w:ascii="Times New Roman" w:cs="Times New Roman" w:eastAsia="Times New Roman" w:hAnsi="Times New Roman"/>
          <w:i w:val="1"/>
          <w:sz w:val="24"/>
          <w:szCs w:val="24"/>
          <w:rtl w:val="0"/>
        </w:rPr>
        <w:t xml:space="preserve">et al.</w:t>
      </w:r>
      <w:r w:rsidDel="00000000" w:rsidR="00000000" w:rsidRPr="00000000">
        <w:rPr>
          <w:rFonts w:ascii="Times New Roman" w:cs="Times New Roman" w:eastAsia="Times New Roman" w:hAnsi="Times New Roman"/>
          <w:sz w:val="24"/>
          <w:szCs w:val="24"/>
          <w:rtl w:val="0"/>
        </w:rPr>
        <w:t xml:space="preserve"> (2014) ‘Public stigma against family members of people with mental illness: findings from the Gilgel Gibe Field Research Center (GGFRC), Southwest Ethiopia’, </w:t>
      </w:r>
      <w:r w:rsidDel="00000000" w:rsidR="00000000" w:rsidRPr="00000000">
        <w:rPr>
          <w:rFonts w:ascii="Times New Roman" w:cs="Times New Roman" w:eastAsia="Times New Roman" w:hAnsi="Times New Roman"/>
          <w:i w:val="1"/>
          <w:sz w:val="24"/>
          <w:szCs w:val="24"/>
          <w:rtl w:val="0"/>
        </w:rPr>
        <w:t xml:space="preserve">BMC International Health and Human Rights</w:t>
      </w:r>
      <w:r w:rsidDel="00000000" w:rsidR="00000000" w:rsidRPr="00000000">
        <w:rPr>
          <w:rFonts w:ascii="Times New Roman" w:cs="Times New Roman" w:eastAsia="Times New Roman" w:hAnsi="Times New Roman"/>
          <w:sz w:val="24"/>
          <w:szCs w:val="24"/>
          <w:rtl w:val="0"/>
        </w:rPr>
        <w:t xml:space="preserve">, 14(1), p. 2. doi: 10.1186/1472-698X-14-2.</w:t>
      </w:r>
    </w:p>
    <w:p w:rsidR="00000000" w:rsidDel="00000000" w:rsidP="00000000" w:rsidRDefault="00000000" w:rsidRPr="00000000" w14:paraId="0000040D">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Greenberg, P. E. </w:t>
      </w:r>
      <w:r w:rsidDel="00000000" w:rsidR="00000000" w:rsidRPr="00000000">
        <w:rPr>
          <w:rFonts w:ascii="Times New Roman" w:cs="Times New Roman" w:eastAsia="Times New Roman" w:hAnsi="Times New Roman"/>
          <w:i w:val="1"/>
          <w:sz w:val="24"/>
          <w:szCs w:val="24"/>
          <w:rtl w:val="0"/>
        </w:rPr>
        <w:t xml:space="preserve">et al.</w:t>
      </w:r>
      <w:r w:rsidDel="00000000" w:rsidR="00000000" w:rsidRPr="00000000">
        <w:rPr>
          <w:rFonts w:ascii="Times New Roman" w:cs="Times New Roman" w:eastAsia="Times New Roman" w:hAnsi="Times New Roman"/>
          <w:sz w:val="24"/>
          <w:szCs w:val="24"/>
          <w:rtl w:val="0"/>
        </w:rPr>
        <w:t xml:space="preserve"> (2003) ‘The economic burden of depression in the United States: how did it change between  1990 and 2000?’, </w:t>
      </w:r>
      <w:r w:rsidDel="00000000" w:rsidR="00000000" w:rsidRPr="00000000">
        <w:rPr>
          <w:rFonts w:ascii="Times New Roman" w:cs="Times New Roman" w:eastAsia="Times New Roman" w:hAnsi="Times New Roman"/>
          <w:i w:val="1"/>
          <w:sz w:val="24"/>
          <w:szCs w:val="24"/>
          <w:rtl w:val="0"/>
        </w:rPr>
        <w:t xml:space="preserve">The Journal of clinical psychiatry</w:t>
      </w:r>
      <w:r w:rsidDel="00000000" w:rsidR="00000000" w:rsidRPr="00000000">
        <w:rPr>
          <w:rFonts w:ascii="Times New Roman" w:cs="Times New Roman" w:eastAsia="Times New Roman" w:hAnsi="Times New Roman"/>
          <w:sz w:val="24"/>
          <w:szCs w:val="24"/>
          <w:rtl w:val="0"/>
        </w:rPr>
        <w:t xml:space="preserve">, 64(12), pp. 1465–1475. doi: 10.4088/jcp.v64n1211.</w:t>
      </w:r>
    </w:p>
    <w:p w:rsidR="00000000" w:rsidDel="00000000" w:rsidP="00000000" w:rsidRDefault="00000000" w:rsidRPr="00000000" w14:paraId="0000040E">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Greenberg, P. E. </w:t>
      </w:r>
      <w:r w:rsidDel="00000000" w:rsidR="00000000" w:rsidRPr="00000000">
        <w:rPr>
          <w:rFonts w:ascii="Times New Roman" w:cs="Times New Roman" w:eastAsia="Times New Roman" w:hAnsi="Times New Roman"/>
          <w:i w:val="1"/>
          <w:sz w:val="24"/>
          <w:szCs w:val="24"/>
          <w:rtl w:val="0"/>
        </w:rPr>
        <w:t xml:space="preserve">et al.</w:t>
      </w:r>
      <w:r w:rsidDel="00000000" w:rsidR="00000000" w:rsidRPr="00000000">
        <w:rPr>
          <w:rFonts w:ascii="Times New Roman" w:cs="Times New Roman" w:eastAsia="Times New Roman" w:hAnsi="Times New Roman"/>
          <w:sz w:val="24"/>
          <w:szCs w:val="24"/>
          <w:rtl w:val="0"/>
        </w:rPr>
        <w:t xml:space="preserve"> (2015) ‘The economic burden of adults with major depressive disorder in the United States  (2005 and 2010).’, </w:t>
      </w:r>
      <w:r w:rsidDel="00000000" w:rsidR="00000000" w:rsidRPr="00000000">
        <w:rPr>
          <w:rFonts w:ascii="Times New Roman" w:cs="Times New Roman" w:eastAsia="Times New Roman" w:hAnsi="Times New Roman"/>
          <w:i w:val="1"/>
          <w:sz w:val="24"/>
          <w:szCs w:val="24"/>
          <w:rtl w:val="0"/>
        </w:rPr>
        <w:t xml:space="preserve">The Journal of clinical psychiatry</w:t>
      </w:r>
      <w:r w:rsidDel="00000000" w:rsidR="00000000" w:rsidRPr="00000000">
        <w:rPr>
          <w:rFonts w:ascii="Times New Roman" w:cs="Times New Roman" w:eastAsia="Times New Roman" w:hAnsi="Times New Roman"/>
          <w:sz w:val="24"/>
          <w:szCs w:val="24"/>
          <w:rtl w:val="0"/>
        </w:rPr>
        <w:t xml:space="preserve">, 76(2), pp. 155–162. doi: 10.4088/JCP.14m09298.</w:t>
      </w:r>
    </w:p>
    <w:p w:rsidR="00000000" w:rsidDel="00000000" w:rsidP="00000000" w:rsidRDefault="00000000" w:rsidRPr="00000000" w14:paraId="0000040F">
      <w:pPr>
        <w:spacing w:after="120" w:line="276"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Hewlett, E.</w:t>
      </w:r>
      <w:r w:rsidDel="00000000" w:rsidR="00000000" w:rsidRPr="00000000">
        <w:rPr>
          <w:rFonts w:ascii="Times New Roman" w:cs="Times New Roman" w:eastAsia="Times New Roman" w:hAnsi="Times New Roman"/>
          <w:i w:val="1"/>
          <w:sz w:val="24"/>
          <w:szCs w:val="24"/>
          <w:rtl w:val="0"/>
        </w:rPr>
        <w:t xml:space="preserve"> et al.</w:t>
      </w:r>
      <w:r w:rsidDel="00000000" w:rsidR="00000000" w:rsidRPr="00000000">
        <w:rPr>
          <w:rFonts w:ascii="Times New Roman" w:cs="Times New Roman" w:eastAsia="Times New Roman" w:hAnsi="Times New Roman"/>
          <w:sz w:val="24"/>
          <w:szCs w:val="24"/>
          <w:rtl w:val="0"/>
        </w:rPr>
        <w:t xml:space="preserve"> (2014) ‘Making Mental Health Count: The Social and Economic Costs of Neglecting Mental Health Care’. </w:t>
      </w:r>
      <w:r w:rsidDel="00000000" w:rsidR="00000000" w:rsidRPr="00000000">
        <w:rPr>
          <w:rFonts w:ascii="Times New Roman" w:cs="Times New Roman" w:eastAsia="Times New Roman" w:hAnsi="Times New Roman"/>
          <w:i w:val="1"/>
          <w:sz w:val="24"/>
          <w:szCs w:val="24"/>
          <w:rtl w:val="0"/>
        </w:rPr>
        <w:t xml:space="preserve">OECD Health Policy Studies</w:t>
      </w:r>
      <w:r w:rsidDel="00000000" w:rsidR="00000000" w:rsidRPr="00000000">
        <w:rPr>
          <w:rFonts w:ascii="Times New Roman" w:cs="Times New Roman" w:eastAsia="Times New Roman" w:hAnsi="Times New Roman"/>
          <w:sz w:val="24"/>
          <w:szCs w:val="24"/>
          <w:rtl w:val="0"/>
        </w:rPr>
        <w:t xml:space="preserve">, OECD Publishing, Paris, https://dx.doi.org/10.1787/9789264208445-en. </w:t>
      </w:r>
    </w:p>
    <w:p w:rsidR="00000000" w:rsidDel="00000000" w:rsidP="00000000" w:rsidRDefault="00000000" w:rsidRPr="00000000" w14:paraId="00000410">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Hollis, C. (2000) ‘Adult outcomes of child- and adolescent-onset schizophrenia: diagnostic stability  and predictive validity.’, </w:t>
      </w:r>
      <w:r w:rsidDel="00000000" w:rsidR="00000000" w:rsidRPr="00000000">
        <w:rPr>
          <w:rFonts w:ascii="Times New Roman" w:cs="Times New Roman" w:eastAsia="Times New Roman" w:hAnsi="Times New Roman"/>
          <w:i w:val="1"/>
          <w:sz w:val="24"/>
          <w:szCs w:val="24"/>
          <w:rtl w:val="0"/>
        </w:rPr>
        <w:t xml:space="preserve">The American journal of psychiatry</w:t>
      </w:r>
      <w:r w:rsidDel="00000000" w:rsidR="00000000" w:rsidRPr="00000000">
        <w:rPr>
          <w:rFonts w:ascii="Times New Roman" w:cs="Times New Roman" w:eastAsia="Times New Roman" w:hAnsi="Times New Roman"/>
          <w:sz w:val="24"/>
          <w:szCs w:val="24"/>
          <w:rtl w:val="0"/>
        </w:rPr>
        <w:t xml:space="preserve">, 157(10), pp. 1652–1659. doi: 10.1176/appi.ajp.157.10.1652.</w:t>
      </w:r>
    </w:p>
    <w:p w:rsidR="00000000" w:rsidDel="00000000" w:rsidP="00000000" w:rsidRDefault="00000000" w:rsidRPr="00000000" w14:paraId="00000411">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Inocencio, T. J. </w:t>
      </w:r>
      <w:r w:rsidDel="00000000" w:rsidR="00000000" w:rsidRPr="00000000">
        <w:rPr>
          <w:rFonts w:ascii="Times New Roman" w:cs="Times New Roman" w:eastAsia="Times New Roman" w:hAnsi="Times New Roman"/>
          <w:i w:val="1"/>
          <w:sz w:val="24"/>
          <w:szCs w:val="24"/>
          <w:rtl w:val="0"/>
        </w:rPr>
        <w:t xml:space="preserve">et al.</w:t>
      </w:r>
      <w:r w:rsidDel="00000000" w:rsidR="00000000" w:rsidRPr="00000000">
        <w:rPr>
          <w:rFonts w:ascii="Times New Roman" w:cs="Times New Roman" w:eastAsia="Times New Roman" w:hAnsi="Times New Roman"/>
          <w:sz w:val="24"/>
          <w:szCs w:val="24"/>
          <w:rtl w:val="0"/>
        </w:rPr>
        <w:t xml:space="preserve"> (2013) ‘The economic burden of opioid-related poisoning in the United States.’, </w:t>
      </w:r>
      <w:r w:rsidDel="00000000" w:rsidR="00000000" w:rsidRPr="00000000">
        <w:rPr>
          <w:rFonts w:ascii="Times New Roman" w:cs="Times New Roman" w:eastAsia="Times New Roman" w:hAnsi="Times New Roman"/>
          <w:i w:val="1"/>
          <w:sz w:val="24"/>
          <w:szCs w:val="24"/>
          <w:rtl w:val="0"/>
        </w:rPr>
        <w:t xml:space="preserve">Pain medicine (Malden, Mass.)</w:t>
      </w:r>
      <w:r w:rsidDel="00000000" w:rsidR="00000000" w:rsidRPr="00000000">
        <w:rPr>
          <w:rFonts w:ascii="Times New Roman" w:cs="Times New Roman" w:eastAsia="Times New Roman" w:hAnsi="Times New Roman"/>
          <w:sz w:val="24"/>
          <w:szCs w:val="24"/>
          <w:rtl w:val="0"/>
        </w:rPr>
        <w:t xml:space="preserve">, 14(10), pp. 1534–1547. doi: 10.1111/pme.12183.</w:t>
      </w:r>
    </w:p>
    <w:p w:rsidR="00000000" w:rsidDel="00000000" w:rsidP="00000000" w:rsidRDefault="00000000" w:rsidRPr="00000000" w14:paraId="00000412">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Iranpour, A. and Nakhaee, N. (2019) ‘A Review of Alcohol-Related Harms: A Recent Update’, </w:t>
      </w:r>
      <w:r w:rsidDel="00000000" w:rsidR="00000000" w:rsidRPr="00000000">
        <w:rPr>
          <w:rFonts w:ascii="Times New Roman" w:cs="Times New Roman" w:eastAsia="Times New Roman" w:hAnsi="Times New Roman"/>
          <w:i w:val="1"/>
          <w:sz w:val="24"/>
          <w:szCs w:val="24"/>
          <w:rtl w:val="0"/>
        </w:rPr>
        <w:t xml:space="preserve">Addiction &amp; health</w:t>
      </w:r>
      <w:r w:rsidDel="00000000" w:rsidR="00000000" w:rsidRPr="00000000">
        <w:rPr>
          <w:rFonts w:ascii="Times New Roman" w:cs="Times New Roman" w:eastAsia="Times New Roman" w:hAnsi="Times New Roman"/>
          <w:sz w:val="24"/>
          <w:szCs w:val="24"/>
          <w:rtl w:val="0"/>
        </w:rPr>
        <w:t xml:space="preserve">, 11(2), pp. 129–137. doi: 10.22122/ahj.v11i2.225.</w:t>
      </w:r>
    </w:p>
    <w:p w:rsidR="00000000" w:rsidDel="00000000" w:rsidP="00000000" w:rsidRDefault="00000000" w:rsidRPr="00000000" w14:paraId="00000413">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Jarbin, H., Ott, Y. and Von Knorring, A.-L. (2003) ‘Adult outcome of social function in adolescent-onset schizophrenia and affective  psychosis.’, </w:t>
      </w:r>
      <w:r w:rsidDel="00000000" w:rsidR="00000000" w:rsidRPr="00000000">
        <w:rPr>
          <w:rFonts w:ascii="Times New Roman" w:cs="Times New Roman" w:eastAsia="Times New Roman" w:hAnsi="Times New Roman"/>
          <w:i w:val="1"/>
          <w:sz w:val="24"/>
          <w:szCs w:val="24"/>
          <w:rtl w:val="0"/>
        </w:rPr>
        <w:t xml:space="preserve">Journal of the American Academy of Child and Adolescent Psychiatry</w:t>
      </w:r>
      <w:r w:rsidDel="00000000" w:rsidR="00000000" w:rsidRPr="00000000">
        <w:rPr>
          <w:rFonts w:ascii="Times New Roman" w:cs="Times New Roman" w:eastAsia="Times New Roman" w:hAnsi="Times New Roman"/>
          <w:sz w:val="24"/>
          <w:szCs w:val="24"/>
          <w:rtl w:val="0"/>
        </w:rPr>
        <w:t xml:space="preserve">, 42(2), pp. 176–183. doi: 10.1097/00004583-200302000-00011.</w:t>
      </w:r>
    </w:p>
    <w:p w:rsidR="00000000" w:rsidDel="00000000" w:rsidP="00000000" w:rsidRDefault="00000000" w:rsidRPr="00000000" w14:paraId="00000414">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Javed, A. </w:t>
      </w:r>
      <w:r w:rsidDel="00000000" w:rsidR="00000000" w:rsidRPr="00000000">
        <w:rPr>
          <w:rFonts w:ascii="Times New Roman" w:cs="Times New Roman" w:eastAsia="Times New Roman" w:hAnsi="Times New Roman"/>
          <w:i w:val="1"/>
          <w:sz w:val="24"/>
          <w:szCs w:val="24"/>
          <w:rtl w:val="0"/>
        </w:rPr>
        <w:t xml:space="preserve">et al.</w:t>
      </w:r>
      <w:r w:rsidDel="00000000" w:rsidR="00000000" w:rsidRPr="00000000">
        <w:rPr>
          <w:rFonts w:ascii="Times New Roman" w:cs="Times New Roman" w:eastAsia="Times New Roman" w:hAnsi="Times New Roman"/>
          <w:sz w:val="24"/>
          <w:szCs w:val="24"/>
          <w:rtl w:val="0"/>
        </w:rPr>
        <w:t xml:space="preserve"> (2021) ‘Reducing the stigma of mental health disorders with a focus on low- and middle-income countries’, </w:t>
      </w:r>
      <w:r w:rsidDel="00000000" w:rsidR="00000000" w:rsidRPr="00000000">
        <w:rPr>
          <w:rFonts w:ascii="Times New Roman" w:cs="Times New Roman" w:eastAsia="Times New Roman" w:hAnsi="Times New Roman"/>
          <w:i w:val="1"/>
          <w:sz w:val="24"/>
          <w:szCs w:val="24"/>
          <w:rtl w:val="0"/>
        </w:rPr>
        <w:t xml:space="preserve">Asian Journal of Psychiatry</w:t>
      </w:r>
      <w:r w:rsidDel="00000000" w:rsidR="00000000" w:rsidRPr="00000000">
        <w:rPr>
          <w:rFonts w:ascii="Times New Roman" w:cs="Times New Roman" w:eastAsia="Times New Roman" w:hAnsi="Times New Roman"/>
          <w:sz w:val="24"/>
          <w:szCs w:val="24"/>
          <w:rtl w:val="0"/>
        </w:rPr>
        <w:t xml:space="preserve">, 58, p. 102601. doi: https://doi.org/10.1016/j.ajp.2021.102601.</w:t>
      </w:r>
    </w:p>
    <w:p w:rsidR="00000000" w:rsidDel="00000000" w:rsidP="00000000" w:rsidRDefault="00000000" w:rsidRPr="00000000" w14:paraId="00000415">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Jenkins, R. </w:t>
      </w:r>
      <w:r w:rsidDel="00000000" w:rsidR="00000000" w:rsidRPr="00000000">
        <w:rPr>
          <w:rFonts w:ascii="Times New Roman" w:cs="Times New Roman" w:eastAsia="Times New Roman" w:hAnsi="Times New Roman"/>
          <w:i w:val="1"/>
          <w:sz w:val="24"/>
          <w:szCs w:val="24"/>
          <w:rtl w:val="0"/>
        </w:rPr>
        <w:t xml:space="preserve">et al.</w:t>
      </w:r>
      <w:r w:rsidDel="00000000" w:rsidR="00000000" w:rsidRPr="00000000">
        <w:rPr>
          <w:rFonts w:ascii="Times New Roman" w:cs="Times New Roman" w:eastAsia="Times New Roman" w:hAnsi="Times New Roman"/>
          <w:sz w:val="24"/>
          <w:szCs w:val="24"/>
          <w:rtl w:val="0"/>
        </w:rPr>
        <w:t xml:space="preserve"> (2008) ‘Debt, income and mental disorder in the general population.’, </w:t>
      </w:r>
      <w:r w:rsidDel="00000000" w:rsidR="00000000" w:rsidRPr="00000000">
        <w:rPr>
          <w:rFonts w:ascii="Times New Roman" w:cs="Times New Roman" w:eastAsia="Times New Roman" w:hAnsi="Times New Roman"/>
          <w:i w:val="1"/>
          <w:sz w:val="24"/>
          <w:szCs w:val="24"/>
          <w:rtl w:val="0"/>
        </w:rPr>
        <w:t xml:space="preserve">Psychological medicine</w:t>
      </w:r>
      <w:r w:rsidDel="00000000" w:rsidR="00000000" w:rsidRPr="00000000">
        <w:rPr>
          <w:rFonts w:ascii="Times New Roman" w:cs="Times New Roman" w:eastAsia="Times New Roman" w:hAnsi="Times New Roman"/>
          <w:sz w:val="24"/>
          <w:szCs w:val="24"/>
          <w:rtl w:val="0"/>
        </w:rPr>
        <w:t xml:space="preserve">, 38(10), pp. 1485–1493. doi: 10.1017/S0033291707002516.</w:t>
      </w:r>
    </w:p>
    <w:p w:rsidR="00000000" w:rsidDel="00000000" w:rsidP="00000000" w:rsidRDefault="00000000" w:rsidRPr="00000000" w14:paraId="00000416">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Karastergiou, A. </w:t>
      </w:r>
      <w:r w:rsidDel="00000000" w:rsidR="00000000" w:rsidRPr="00000000">
        <w:rPr>
          <w:rFonts w:ascii="Times New Roman" w:cs="Times New Roman" w:eastAsia="Times New Roman" w:hAnsi="Times New Roman"/>
          <w:i w:val="1"/>
          <w:sz w:val="24"/>
          <w:szCs w:val="24"/>
          <w:rtl w:val="0"/>
        </w:rPr>
        <w:t xml:space="preserve">et al.</w:t>
      </w:r>
      <w:r w:rsidDel="00000000" w:rsidR="00000000" w:rsidRPr="00000000">
        <w:rPr>
          <w:rFonts w:ascii="Times New Roman" w:cs="Times New Roman" w:eastAsia="Times New Roman" w:hAnsi="Times New Roman"/>
          <w:sz w:val="24"/>
          <w:szCs w:val="24"/>
          <w:rtl w:val="0"/>
        </w:rPr>
        <w:t xml:space="preserve"> (2005) ‘The reform of the Greek mental health services’, </w:t>
      </w:r>
      <w:r w:rsidDel="00000000" w:rsidR="00000000" w:rsidRPr="00000000">
        <w:rPr>
          <w:rFonts w:ascii="Times New Roman" w:cs="Times New Roman" w:eastAsia="Times New Roman" w:hAnsi="Times New Roman"/>
          <w:i w:val="1"/>
          <w:sz w:val="24"/>
          <w:szCs w:val="24"/>
          <w:rtl w:val="0"/>
        </w:rPr>
        <w:t xml:space="preserve">Journal of Mental Health</w:t>
      </w:r>
      <w:r w:rsidDel="00000000" w:rsidR="00000000" w:rsidRPr="00000000">
        <w:rPr>
          <w:rFonts w:ascii="Times New Roman" w:cs="Times New Roman" w:eastAsia="Times New Roman" w:hAnsi="Times New Roman"/>
          <w:sz w:val="24"/>
          <w:szCs w:val="24"/>
          <w:rtl w:val="0"/>
        </w:rPr>
        <w:t xml:space="preserve">, 14(2), pp. 197–203. doi: 10.1080/09638230500060516.</w:t>
      </w:r>
    </w:p>
    <w:p w:rsidR="00000000" w:rsidDel="00000000" w:rsidP="00000000" w:rsidRDefault="00000000" w:rsidRPr="00000000" w14:paraId="00000417">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Keyes, K. M. </w:t>
      </w:r>
      <w:r w:rsidDel="00000000" w:rsidR="00000000" w:rsidRPr="00000000">
        <w:rPr>
          <w:rFonts w:ascii="Times New Roman" w:cs="Times New Roman" w:eastAsia="Times New Roman" w:hAnsi="Times New Roman"/>
          <w:i w:val="1"/>
          <w:sz w:val="24"/>
          <w:szCs w:val="24"/>
          <w:rtl w:val="0"/>
        </w:rPr>
        <w:t xml:space="preserve">et al.</w:t>
      </w:r>
      <w:r w:rsidDel="00000000" w:rsidR="00000000" w:rsidRPr="00000000">
        <w:rPr>
          <w:rFonts w:ascii="Times New Roman" w:cs="Times New Roman" w:eastAsia="Times New Roman" w:hAnsi="Times New Roman"/>
          <w:sz w:val="24"/>
          <w:szCs w:val="24"/>
          <w:rtl w:val="0"/>
        </w:rPr>
        <w:t xml:space="preserve"> (2010) ‘Stigma and treatment for alcohol disorders in the United States’, </w:t>
      </w:r>
      <w:r w:rsidDel="00000000" w:rsidR="00000000" w:rsidRPr="00000000">
        <w:rPr>
          <w:rFonts w:ascii="Times New Roman" w:cs="Times New Roman" w:eastAsia="Times New Roman" w:hAnsi="Times New Roman"/>
          <w:i w:val="1"/>
          <w:sz w:val="24"/>
          <w:szCs w:val="24"/>
          <w:rtl w:val="0"/>
        </w:rPr>
        <w:t xml:space="preserve">American journal of epidemiology</w:t>
      </w:r>
      <w:r w:rsidDel="00000000" w:rsidR="00000000" w:rsidRPr="00000000">
        <w:rPr>
          <w:rFonts w:ascii="Times New Roman" w:cs="Times New Roman" w:eastAsia="Times New Roman" w:hAnsi="Times New Roman"/>
          <w:sz w:val="24"/>
          <w:szCs w:val="24"/>
          <w:rtl w:val="0"/>
        </w:rPr>
        <w:t xml:space="preserve">. 2010/11/02, 172(12), pp. 1364–1372. doi: 10.1093/aje/kwq304.</w:t>
      </w:r>
    </w:p>
    <w:p w:rsidR="00000000" w:rsidDel="00000000" w:rsidP="00000000" w:rsidRDefault="00000000" w:rsidRPr="00000000" w14:paraId="00000418">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Khalema, N. E. and Shankar, J. (2014) ‘Perspectives on Employment Integration, Mental Illness and Disability, and Workplace Health’, </w:t>
      </w:r>
      <w:r w:rsidDel="00000000" w:rsidR="00000000" w:rsidRPr="00000000">
        <w:rPr>
          <w:rFonts w:ascii="Times New Roman" w:cs="Times New Roman" w:eastAsia="Times New Roman" w:hAnsi="Times New Roman"/>
          <w:i w:val="1"/>
          <w:sz w:val="24"/>
          <w:szCs w:val="24"/>
          <w:rtl w:val="0"/>
        </w:rPr>
        <w:t xml:space="preserve">Advances in Public Health</w:t>
      </w:r>
      <w:r w:rsidDel="00000000" w:rsidR="00000000" w:rsidRPr="00000000">
        <w:rPr>
          <w:rFonts w:ascii="Times New Roman" w:cs="Times New Roman" w:eastAsia="Times New Roman" w:hAnsi="Times New Roman"/>
          <w:sz w:val="24"/>
          <w:szCs w:val="24"/>
          <w:rtl w:val="0"/>
        </w:rPr>
        <w:t xml:space="preserve">. Edited by J. Godleski, 2014, p. 258614. doi: 10.1155/2014/258614.</w:t>
      </w:r>
    </w:p>
    <w:p w:rsidR="00000000" w:rsidDel="00000000" w:rsidP="00000000" w:rsidRDefault="00000000" w:rsidRPr="00000000" w14:paraId="00000419">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Kilbourne, A. M. </w:t>
      </w:r>
      <w:r w:rsidDel="00000000" w:rsidR="00000000" w:rsidRPr="00000000">
        <w:rPr>
          <w:rFonts w:ascii="Times New Roman" w:cs="Times New Roman" w:eastAsia="Times New Roman" w:hAnsi="Times New Roman"/>
          <w:i w:val="1"/>
          <w:sz w:val="24"/>
          <w:szCs w:val="24"/>
          <w:rtl w:val="0"/>
        </w:rPr>
        <w:t xml:space="preserve">et al.</w:t>
      </w:r>
      <w:r w:rsidDel="00000000" w:rsidR="00000000" w:rsidRPr="00000000">
        <w:rPr>
          <w:rFonts w:ascii="Times New Roman" w:cs="Times New Roman" w:eastAsia="Times New Roman" w:hAnsi="Times New Roman"/>
          <w:sz w:val="24"/>
          <w:szCs w:val="24"/>
          <w:rtl w:val="0"/>
        </w:rPr>
        <w:t xml:space="preserve"> (2018) ‘Measuring and improving the quality of mental health care: a global perspective.’, </w:t>
      </w:r>
      <w:r w:rsidDel="00000000" w:rsidR="00000000" w:rsidRPr="00000000">
        <w:rPr>
          <w:rFonts w:ascii="Times New Roman" w:cs="Times New Roman" w:eastAsia="Times New Roman" w:hAnsi="Times New Roman"/>
          <w:i w:val="1"/>
          <w:sz w:val="24"/>
          <w:szCs w:val="24"/>
          <w:rtl w:val="0"/>
        </w:rPr>
        <w:t xml:space="preserve">World psychiatry : official journal of the World Psychiatric Association (WPA)</w:t>
      </w:r>
      <w:r w:rsidDel="00000000" w:rsidR="00000000" w:rsidRPr="00000000">
        <w:rPr>
          <w:rFonts w:ascii="Times New Roman" w:cs="Times New Roman" w:eastAsia="Times New Roman" w:hAnsi="Times New Roman"/>
          <w:sz w:val="24"/>
          <w:szCs w:val="24"/>
          <w:rtl w:val="0"/>
        </w:rPr>
        <w:t xml:space="preserve">, 17(1), pp. 30–38. doi: 10.1002/wps.20482.</w:t>
      </w:r>
    </w:p>
    <w:p w:rsidR="00000000" w:rsidDel="00000000" w:rsidP="00000000" w:rsidRDefault="00000000" w:rsidRPr="00000000" w14:paraId="0000041A">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Kohn, R. </w:t>
      </w:r>
      <w:r w:rsidDel="00000000" w:rsidR="00000000" w:rsidRPr="00000000">
        <w:rPr>
          <w:rFonts w:ascii="Times New Roman" w:cs="Times New Roman" w:eastAsia="Times New Roman" w:hAnsi="Times New Roman"/>
          <w:i w:val="1"/>
          <w:sz w:val="24"/>
          <w:szCs w:val="24"/>
          <w:rtl w:val="0"/>
        </w:rPr>
        <w:t xml:space="preserve">et al.</w:t>
      </w:r>
      <w:r w:rsidDel="00000000" w:rsidR="00000000" w:rsidRPr="00000000">
        <w:rPr>
          <w:rFonts w:ascii="Times New Roman" w:cs="Times New Roman" w:eastAsia="Times New Roman" w:hAnsi="Times New Roman"/>
          <w:sz w:val="24"/>
          <w:szCs w:val="24"/>
          <w:rtl w:val="0"/>
        </w:rPr>
        <w:t xml:space="preserve"> (2004) ‘The treatment gap in mental health care’, </w:t>
      </w:r>
      <w:r w:rsidDel="00000000" w:rsidR="00000000" w:rsidRPr="00000000">
        <w:rPr>
          <w:rFonts w:ascii="Times New Roman" w:cs="Times New Roman" w:eastAsia="Times New Roman" w:hAnsi="Times New Roman"/>
          <w:i w:val="1"/>
          <w:sz w:val="24"/>
          <w:szCs w:val="24"/>
          <w:rtl w:val="0"/>
        </w:rPr>
        <w:t xml:space="preserve">Bulletin of the World Health Organization</w:t>
      </w:r>
      <w:r w:rsidDel="00000000" w:rsidR="00000000" w:rsidRPr="00000000">
        <w:rPr>
          <w:rFonts w:ascii="Times New Roman" w:cs="Times New Roman" w:eastAsia="Times New Roman" w:hAnsi="Times New Roman"/>
          <w:sz w:val="24"/>
          <w:szCs w:val="24"/>
          <w:rtl w:val="0"/>
        </w:rPr>
        <w:t xml:space="preserve">. 2004/12/14, 82(11), pp. 858–866. Available at: https://pubmed.ncbi.nlm.nih.gov/15640922.</w:t>
      </w:r>
    </w:p>
    <w:p w:rsidR="00000000" w:rsidDel="00000000" w:rsidP="00000000" w:rsidRDefault="00000000" w:rsidRPr="00000000" w14:paraId="0000041B">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Kovandžić, M. </w:t>
      </w:r>
      <w:r w:rsidDel="00000000" w:rsidR="00000000" w:rsidRPr="00000000">
        <w:rPr>
          <w:rFonts w:ascii="Times New Roman" w:cs="Times New Roman" w:eastAsia="Times New Roman" w:hAnsi="Times New Roman"/>
          <w:i w:val="1"/>
          <w:sz w:val="24"/>
          <w:szCs w:val="24"/>
          <w:rtl w:val="0"/>
        </w:rPr>
        <w:t xml:space="preserve">et al.</w:t>
      </w:r>
      <w:r w:rsidDel="00000000" w:rsidR="00000000" w:rsidRPr="00000000">
        <w:rPr>
          <w:rFonts w:ascii="Times New Roman" w:cs="Times New Roman" w:eastAsia="Times New Roman" w:hAnsi="Times New Roman"/>
          <w:sz w:val="24"/>
          <w:szCs w:val="24"/>
          <w:rtl w:val="0"/>
        </w:rPr>
        <w:t xml:space="preserve"> (2011) ‘Access to primary mental health care for hard-to-reach groups: from “silent  suffering” to “making it work”.’, </w:t>
      </w:r>
      <w:r w:rsidDel="00000000" w:rsidR="00000000" w:rsidRPr="00000000">
        <w:rPr>
          <w:rFonts w:ascii="Times New Roman" w:cs="Times New Roman" w:eastAsia="Times New Roman" w:hAnsi="Times New Roman"/>
          <w:i w:val="1"/>
          <w:sz w:val="24"/>
          <w:szCs w:val="24"/>
          <w:rtl w:val="0"/>
        </w:rPr>
        <w:t xml:space="preserve">Social science &amp; medicine (1982)</w:t>
      </w:r>
      <w:r w:rsidDel="00000000" w:rsidR="00000000" w:rsidRPr="00000000">
        <w:rPr>
          <w:rFonts w:ascii="Times New Roman" w:cs="Times New Roman" w:eastAsia="Times New Roman" w:hAnsi="Times New Roman"/>
          <w:sz w:val="24"/>
          <w:szCs w:val="24"/>
          <w:rtl w:val="0"/>
        </w:rPr>
        <w:t xml:space="preserve">, 72(5), pp. 763–772. doi: 10.1016/j.socscimed.2010.11.027.</w:t>
      </w:r>
    </w:p>
    <w:p w:rsidR="00000000" w:rsidDel="00000000" w:rsidP="00000000" w:rsidRDefault="00000000" w:rsidRPr="00000000" w14:paraId="0000041C">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Krol, M. </w:t>
      </w:r>
      <w:r w:rsidDel="00000000" w:rsidR="00000000" w:rsidRPr="00000000">
        <w:rPr>
          <w:rFonts w:ascii="Times New Roman" w:cs="Times New Roman" w:eastAsia="Times New Roman" w:hAnsi="Times New Roman"/>
          <w:i w:val="1"/>
          <w:sz w:val="24"/>
          <w:szCs w:val="24"/>
          <w:rtl w:val="0"/>
        </w:rPr>
        <w:t xml:space="preserve">et al.</w:t>
      </w:r>
      <w:r w:rsidDel="00000000" w:rsidR="00000000" w:rsidRPr="00000000">
        <w:rPr>
          <w:rFonts w:ascii="Times New Roman" w:cs="Times New Roman" w:eastAsia="Times New Roman" w:hAnsi="Times New Roman"/>
          <w:sz w:val="24"/>
          <w:szCs w:val="24"/>
          <w:rtl w:val="0"/>
        </w:rPr>
        <w:t xml:space="preserve"> (2011) ‘Do productivity costs matter?: the impact of including productivity costs on the  incremental costs of interventions targeted at depressive disorders.’, </w:t>
      </w:r>
      <w:r w:rsidDel="00000000" w:rsidR="00000000" w:rsidRPr="00000000">
        <w:rPr>
          <w:rFonts w:ascii="Times New Roman" w:cs="Times New Roman" w:eastAsia="Times New Roman" w:hAnsi="Times New Roman"/>
          <w:i w:val="1"/>
          <w:sz w:val="24"/>
          <w:szCs w:val="24"/>
          <w:rtl w:val="0"/>
        </w:rPr>
        <w:t xml:space="preserve">PharmacoEconomics</w:t>
      </w:r>
      <w:r w:rsidDel="00000000" w:rsidR="00000000" w:rsidRPr="00000000">
        <w:rPr>
          <w:rFonts w:ascii="Times New Roman" w:cs="Times New Roman" w:eastAsia="Times New Roman" w:hAnsi="Times New Roman"/>
          <w:sz w:val="24"/>
          <w:szCs w:val="24"/>
          <w:rtl w:val="0"/>
        </w:rPr>
        <w:t xml:space="preserve">, 29(7), pp. 601–619. doi: 10.2165/11539970-000000000-00000.</w:t>
      </w:r>
    </w:p>
    <w:p w:rsidR="00000000" w:rsidDel="00000000" w:rsidP="00000000" w:rsidRDefault="00000000" w:rsidRPr="00000000" w14:paraId="0000041D">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Kyriakidou, N. and Triliva, S. (2018) ‘The “constant tug-of-war” in mental health care in Greece’, </w:t>
      </w:r>
      <w:r w:rsidDel="00000000" w:rsidR="00000000" w:rsidRPr="00000000">
        <w:rPr>
          <w:rFonts w:ascii="Times New Roman" w:cs="Times New Roman" w:eastAsia="Times New Roman" w:hAnsi="Times New Roman"/>
          <w:i w:val="1"/>
          <w:sz w:val="24"/>
          <w:szCs w:val="24"/>
          <w:rtl w:val="0"/>
        </w:rPr>
        <w:t xml:space="preserve">Mental Health Review Journal</w:t>
      </w:r>
      <w:r w:rsidDel="00000000" w:rsidR="00000000" w:rsidRPr="00000000">
        <w:rPr>
          <w:rFonts w:ascii="Times New Roman" w:cs="Times New Roman" w:eastAsia="Times New Roman" w:hAnsi="Times New Roman"/>
          <w:sz w:val="24"/>
          <w:szCs w:val="24"/>
          <w:rtl w:val="0"/>
        </w:rPr>
        <w:t xml:space="preserve">, 23(3), pp. 121–130. doi: 10.1108/MHRJ-11-2017-0050.</w:t>
      </w:r>
    </w:p>
    <w:p w:rsidR="00000000" w:rsidDel="00000000" w:rsidP="00000000" w:rsidRDefault="00000000" w:rsidRPr="00000000" w14:paraId="0000041E">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Loukidou, E. </w:t>
      </w:r>
      <w:r w:rsidDel="00000000" w:rsidR="00000000" w:rsidRPr="00000000">
        <w:rPr>
          <w:rFonts w:ascii="Times New Roman" w:cs="Times New Roman" w:eastAsia="Times New Roman" w:hAnsi="Times New Roman"/>
          <w:i w:val="1"/>
          <w:sz w:val="24"/>
          <w:szCs w:val="24"/>
          <w:rtl w:val="0"/>
        </w:rPr>
        <w:t xml:space="preserve">et al.</w:t>
      </w:r>
      <w:r w:rsidDel="00000000" w:rsidR="00000000" w:rsidRPr="00000000">
        <w:rPr>
          <w:rFonts w:ascii="Times New Roman" w:cs="Times New Roman" w:eastAsia="Times New Roman" w:hAnsi="Times New Roman"/>
          <w:sz w:val="24"/>
          <w:szCs w:val="24"/>
          <w:rtl w:val="0"/>
        </w:rPr>
        <w:t xml:space="preserve"> (2013) ‘Evaluation of Greek psychiatric reforms: methodological issues’, </w:t>
      </w:r>
      <w:r w:rsidDel="00000000" w:rsidR="00000000" w:rsidRPr="00000000">
        <w:rPr>
          <w:rFonts w:ascii="Times New Roman" w:cs="Times New Roman" w:eastAsia="Times New Roman" w:hAnsi="Times New Roman"/>
          <w:i w:val="1"/>
          <w:sz w:val="24"/>
          <w:szCs w:val="24"/>
          <w:rtl w:val="0"/>
        </w:rPr>
        <w:t xml:space="preserve">International journal of mental health systems</w:t>
      </w:r>
      <w:r w:rsidDel="00000000" w:rsidR="00000000" w:rsidRPr="00000000">
        <w:rPr>
          <w:rFonts w:ascii="Times New Roman" w:cs="Times New Roman" w:eastAsia="Times New Roman" w:hAnsi="Times New Roman"/>
          <w:sz w:val="24"/>
          <w:szCs w:val="24"/>
          <w:rtl w:val="0"/>
        </w:rPr>
        <w:t xml:space="preserve">, 7(1), p. 11. doi: 10.1186/1752-4458-7-11.</w:t>
      </w:r>
    </w:p>
    <w:p w:rsidR="00000000" w:rsidDel="00000000" w:rsidP="00000000" w:rsidRDefault="00000000" w:rsidRPr="00000000" w14:paraId="0000041F">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Lund, C. </w:t>
      </w:r>
      <w:r w:rsidDel="00000000" w:rsidR="00000000" w:rsidRPr="00000000">
        <w:rPr>
          <w:rFonts w:ascii="Times New Roman" w:cs="Times New Roman" w:eastAsia="Times New Roman" w:hAnsi="Times New Roman"/>
          <w:i w:val="1"/>
          <w:sz w:val="24"/>
          <w:szCs w:val="24"/>
          <w:rtl w:val="0"/>
        </w:rPr>
        <w:t xml:space="preserve">et al.</w:t>
      </w:r>
      <w:r w:rsidDel="00000000" w:rsidR="00000000" w:rsidRPr="00000000">
        <w:rPr>
          <w:rFonts w:ascii="Times New Roman" w:cs="Times New Roman" w:eastAsia="Times New Roman" w:hAnsi="Times New Roman"/>
          <w:sz w:val="24"/>
          <w:szCs w:val="24"/>
          <w:rtl w:val="0"/>
        </w:rPr>
        <w:t xml:space="preserve"> (2013) ‘Mental illness and lost income among adult South Africans’, </w:t>
      </w:r>
      <w:r w:rsidDel="00000000" w:rsidR="00000000" w:rsidRPr="00000000">
        <w:rPr>
          <w:rFonts w:ascii="Times New Roman" w:cs="Times New Roman" w:eastAsia="Times New Roman" w:hAnsi="Times New Roman"/>
          <w:i w:val="1"/>
          <w:sz w:val="24"/>
          <w:szCs w:val="24"/>
          <w:rtl w:val="0"/>
        </w:rPr>
        <w:t xml:space="preserve">Social psychiatry and psychiatric epidemiology</w:t>
      </w:r>
      <w:r w:rsidDel="00000000" w:rsidR="00000000" w:rsidRPr="00000000">
        <w:rPr>
          <w:rFonts w:ascii="Times New Roman" w:cs="Times New Roman" w:eastAsia="Times New Roman" w:hAnsi="Times New Roman"/>
          <w:sz w:val="24"/>
          <w:szCs w:val="24"/>
          <w:rtl w:val="0"/>
        </w:rPr>
        <w:t xml:space="preserve">. 2012/09/25, 48(5), pp. 845–851. doi: 10.1007/s00127-012-0587-5.</w:t>
      </w:r>
    </w:p>
    <w:p w:rsidR="00000000" w:rsidDel="00000000" w:rsidP="00000000" w:rsidRDefault="00000000" w:rsidRPr="00000000" w14:paraId="00000420">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Madianos, M. G. (2013) ‘Economic crisis, mental health and psychiatric care: what happened to the  “psychiatric reform” in Greece?’, </w:t>
      </w:r>
      <w:r w:rsidDel="00000000" w:rsidR="00000000" w:rsidRPr="00000000">
        <w:rPr>
          <w:rFonts w:ascii="Times New Roman" w:cs="Times New Roman" w:eastAsia="Times New Roman" w:hAnsi="Times New Roman"/>
          <w:i w:val="1"/>
          <w:sz w:val="24"/>
          <w:szCs w:val="24"/>
          <w:rtl w:val="0"/>
        </w:rPr>
        <w:t xml:space="preserve">Psychiatrike = Psychiatriki</w:t>
      </w:r>
      <w:r w:rsidDel="00000000" w:rsidR="00000000" w:rsidRPr="00000000">
        <w:rPr>
          <w:rFonts w:ascii="Times New Roman" w:cs="Times New Roman" w:eastAsia="Times New Roman" w:hAnsi="Times New Roman"/>
          <w:sz w:val="24"/>
          <w:szCs w:val="24"/>
          <w:rtl w:val="0"/>
        </w:rPr>
        <w:t xml:space="preserve">. Greece, pp. 13–16.</w:t>
      </w:r>
    </w:p>
    <w:p w:rsidR="00000000" w:rsidDel="00000000" w:rsidP="00000000" w:rsidRDefault="00000000" w:rsidRPr="00000000" w14:paraId="00000421">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Madianos, M. G. (2020) ‘The adventures of psychiatric reform in Greece: 1999–2019’, </w:t>
      </w:r>
      <w:r w:rsidDel="00000000" w:rsidR="00000000" w:rsidRPr="00000000">
        <w:rPr>
          <w:rFonts w:ascii="Times New Roman" w:cs="Times New Roman" w:eastAsia="Times New Roman" w:hAnsi="Times New Roman"/>
          <w:i w:val="1"/>
          <w:sz w:val="24"/>
          <w:szCs w:val="24"/>
          <w:rtl w:val="0"/>
        </w:rPr>
        <w:t xml:space="preserve">BJPsych International</w:t>
      </w:r>
      <w:r w:rsidDel="00000000" w:rsidR="00000000" w:rsidRPr="00000000">
        <w:rPr>
          <w:rFonts w:ascii="Times New Roman" w:cs="Times New Roman" w:eastAsia="Times New Roman" w:hAnsi="Times New Roman"/>
          <w:sz w:val="24"/>
          <w:szCs w:val="24"/>
          <w:rtl w:val="0"/>
        </w:rPr>
        <w:t xml:space="preserve">. 2019/12/02, 17(2), pp. 26–28. doi: DOI: 10.1192/bji.2019.30.</w:t>
      </w:r>
    </w:p>
    <w:p w:rsidR="00000000" w:rsidDel="00000000" w:rsidP="00000000" w:rsidRDefault="00000000" w:rsidRPr="00000000" w14:paraId="00000422">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Marcotte, D. E. and Wilcox-Gök, V. (2003) ‘Estimating earnings losses due to mental illness: a quantile regression approach.’, </w:t>
      </w:r>
      <w:r w:rsidDel="00000000" w:rsidR="00000000" w:rsidRPr="00000000">
        <w:rPr>
          <w:rFonts w:ascii="Times New Roman" w:cs="Times New Roman" w:eastAsia="Times New Roman" w:hAnsi="Times New Roman"/>
          <w:i w:val="1"/>
          <w:sz w:val="24"/>
          <w:szCs w:val="24"/>
          <w:rtl w:val="0"/>
        </w:rPr>
        <w:t xml:space="preserve">The journal of mental health policy and economics</w:t>
      </w:r>
      <w:r w:rsidDel="00000000" w:rsidR="00000000" w:rsidRPr="00000000">
        <w:rPr>
          <w:rFonts w:ascii="Times New Roman" w:cs="Times New Roman" w:eastAsia="Times New Roman" w:hAnsi="Times New Roman"/>
          <w:sz w:val="24"/>
          <w:szCs w:val="24"/>
          <w:rtl w:val="0"/>
        </w:rPr>
        <w:t xml:space="preserve">, 6(3), pp. 123–134.</w:t>
      </w:r>
    </w:p>
    <w:p w:rsidR="00000000" w:rsidDel="00000000" w:rsidP="00000000" w:rsidRDefault="00000000" w:rsidRPr="00000000" w14:paraId="00000423">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Marwaha, S. and Johnson, S. (2004) ‘Schizophrenia and employment - a review.’, </w:t>
      </w:r>
      <w:r w:rsidDel="00000000" w:rsidR="00000000" w:rsidRPr="00000000">
        <w:rPr>
          <w:rFonts w:ascii="Times New Roman" w:cs="Times New Roman" w:eastAsia="Times New Roman" w:hAnsi="Times New Roman"/>
          <w:i w:val="1"/>
          <w:sz w:val="24"/>
          <w:szCs w:val="24"/>
          <w:rtl w:val="0"/>
        </w:rPr>
        <w:t xml:space="preserve">Social psychiatry and psychiatric epidemiology</w:t>
      </w:r>
      <w:r w:rsidDel="00000000" w:rsidR="00000000" w:rsidRPr="00000000">
        <w:rPr>
          <w:rFonts w:ascii="Times New Roman" w:cs="Times New Roman" w:eastAsia="Times New Roman" w:hAnsi="Times New Roman"/>
          <w:sz w:val="24"/>
          <w:szCs w:val="24"/>
          <w:rtl w:val="0"/>
        </w:rPr>
        <w:t xml:space="preserve">, 39(5), pp. 337–349. doi: 10.1007/s00127-004-0762-4.</w:t>
      </w:r>
    </w:p>
    <w:p w:rsidR="00000000" w:rsidDel="00000000" w:rsidP="00000000" w:rsidRDefault="00000000" w:rsidRPr="00000000" w14:paraId="00000424">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McLellan, A. T. (2017) ‘Substance Misuse and Substance use Disorders: Why do they Matter in Healthcare?’, </w:t>
      </w:r>
      <w:r w:rsidDel="00000000" w:rsidR="00000000" w:rsidRPr="00000000">
        <w:rPr>
          <w:rFonts w:ascii="Times New Roman" w:cs="Times New Roman" w:eastAsia="Times New Roman" w:hAnsi="Times New Roman"/>
          <w:i w:val="1"/>
          <w:sz w:val="24"/>
          <w:szCs w:val="24"/>
          <w:rtl w:val="0"/>
        </w:rPr>
        <w:t xml:space="preserve">Transactions of the American Clinical and Climatological Association</w:t>
      </w:r>
      <w:r w:rsidDel="00000000" w:rsidR="00000000" w:rsidRPr="00000000">
        <w:rPr>
          <w:rFonts w:ascii="Times New Roman" w:cs="Times New Roman" w:eastAsia="Times New Roman" w:hAnsi="Times New Roman"/>
          <w:sz w:val="24"/>
          <w:szCs w:val="24"/>
          <w:rtl w:val="0"/>
        </w:rPr>
        <w:t xml:space="preserve">, 128, pp. 112–130. Available at: https://pubmed.ncbi.nlm.nih.gov/28790493.</w:t>
      </w:r>
    </w:p>
    <w:p w:rsidR="00000000" w:rsidDel="00000000" w:rsidP="00000000" w:rsidRDefault="00000000" w:rsidRPr="00000000" w14:paraId="00000425">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Mihalopoulos, C. and Chatterton, M. Lou (2015) ‘Economic evaluations of interventions designed to prevent mental disorders: a  systematic review.’, </w:t>
      </w:r>
      <w:r w:rsidDel="00000000" w:rsidR="00000000" w:rsidRPr="00000000">
        <w:rPr>
          <w:rFonts w:ascii="Times New Roman" w:cs="Times New Roman" w:eastAsia="Times New Roman" w:hAnsi="Times New Roman"/>
          <w:i w:val="1"/>
          <w:sz w:val="24"/>
          <w:szCs w:val="24"/>
          <w:rtl w:val="0"/>
        </w:rPr>
        <w:t xml:space="preserve">Early intervention in psychiatry</w:t>
      </w:r>
      <w:r w:rsidDel="00000000" w:rsidR="00000000" w:rsidRPr="00000000">
        <w:rPr>
          <w:rFonts w:ascii="Times New Roman" w:cs="Times New Roman" w:eastAsia="Times New Roman" w:hAnsi="Times New Roman"/>
          <w:sz w:val="24"/>
          <w:szCs w:val="24"/>
          <w:rtl w:val="0"/>
        </w:rPr>
        <w:t xml:space="preserve">, 9(2), pp. 85–92. doi: 10.1111/eip.12156.</w:t>
      </w:r>
    </w:p>
    <w:p w:rsidR="00000000" w:rsidDel="00000000" w:rsidP="00000000" w:rsidRDefault="00000000" w:rsidRPr="00000000" w14:paraId="00000426">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Mohapatra, S. </w:t>
      </w:r>
      <w:r w:rsidDel="00000000" w:rsidR="00000000" w:rsidRPr="00000000">
        <w:rPr>
          <w:rFonts w:ascii="Times New Roman" w:cs="Times New Roman" w:eastAsia="Times New Roman" w:hAnsi="Times New Roman"/>
          <w:i w:val="1"/>
          <w:sz w:val="24"/>
          <w:szCs w:val="24"/>
          <w:rtl w:val="0"/>
        </w:rPr>
        <w:t xml:space="preserve">et al.</w:t>
      </w:r>
      <w:r w:rsidDel="00000000" w:rsidR="00000000" w:rsidRPr="00000000">
        <w:rPr>
          <w:rFonts w:ascii="Times New Roman" w:cs="Times New Roman" w:eastAsia="Times New Roman" w:hAnsi="Times New Roman"/>
          <w:sz w:val="24"/>
          <w:szCs w:val="24"/>
          <w:rtl w:val="0"/>
        </w:rPr>
        <w:t xml:space="preserve"> (2010) ‘Social cost of heavy drinking and alcohol dependence in high-income countries.’, </w:t>
      </w:r>
      <w:r w:rsidDel="00000000" w:rsidR="00000000" w:rsidRPr="00000000">
        <w:rPr>
          <w:rFonts w:ascii="Times New Roman" w:cs="Times New Roman" w:eastAsia="Times New Roman" w:hAnsi="Times New Roman"/>
          <w:i w:val="1"/>
          <w:sz w:val="24"/>
          <w:szCs w:val="24"/>
          <w:rtl w:val="0"/>
        </w:rPr>
        <w:t xml:space="preserve">International journal of public health</w:t>
      </w:r>
      <w:r w:rsidDel="00000000" w:rsidR="00000000" w:rsidRPr="00000000">
        <w:rPr>
          <w:rFonts w:ascii="Times New Roman" w:cs="Times New Roman" w:eastAsia="Times New Roman" w:hAnsi="Times New Roman"/>
          <w:sz w:val="24"/>
          <w:szCs w:val="24"/>
          <w:rtl w:val="0"/>
        </w:rPr>
        <w:t xml:space="preserve">, 55(3), pp. 149–157. doi: 10.1007/s00038-009-0108-9.</w:t>
      </w:r>
    </w:p>
    <w:p w:rsidR="00000000" w:rsidDel="00000000" w:rsidP="00000000" w:rsidRDefault="00000000" w:rsidRPr="00000000" w14:paraId="00000427">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Mpourazana, D. </w:t>
      </w:r>
      <w:r w:rsidDel="00000000" w:rsidR="00000000" w:rsidRPr="00000000">
        <w:rPr>
          <w:rFonts w:ascii="Times New Roman" w:cs="Times New Roman" w:eastAsia="Times New Roman" w:hAnsi="Times New Roman"/>
          <w:i w:val="1"/>
          <w:sz w:val="24"/>
          <w:szCs w:val="24"/>
          <w:rtl w:val="0"/>
        </w:rPr>
        <w:t xml:space="preserve">et al.</w:t>
      </w:r>
      <w:r w:rsidDel="00000000" w:rsidR="00000000" w:rsidRPr="00000000">
        <w:rPr>
          <w:rFonts w:ascii="Times New Roman" w:cs="Times New Roman" w:eastAsia="Times New Roman" w:hAnsi="Times New Roman"/>
          <w:sz w:val="24"/>
          <w:szCs w:val="24"/>
          <w:rtl w:val="0"/>
        </w:rPr>
        <w:t xml:space="preserve"> (2021) ‘[New patients’ access to psychiatric treatment services: Improving the quality  indicators of mental health services].’, </w:t>
      </w:r>
      <w:r w:rsidDel="00000000" w:rsidR="00000000" w:rsidRPr="00000000">
        <w:rPr>
          <w:rFonts w:ascii="Times New Roman" w:cs="Times New Roman" w:eastAsia="Times New Roman" w:hAnsi="Times New Roman"/>
          <w:i w:val="1"/>
          <w:sz w:val="24"/>
          <w:szCs w:val="24"/>
          <w:rtl w:val="0"/>
        </w:rPr>
        <w:t xml:space="preserve">Psychiatrike = Psychiatriki</w:t>
      </w:r>
      <w:r w:rsidDel="00000000" w:rsidR="00000000" w:rsidRPr="00000000">
        <w:rPr>
          <w:rFonts w:ascii="Times New Roman" w:cs="Times New Roman" w:eastAsia="Times New Roman" w:hAnsi="Times New Roman"/>
          <w:sz w:val="24"/>
          <w:szCs w:val="24"/>
          <w:rtl w:val="0"/>
        </w:rPr>
        <w:t xml:space="preserve">, 32(2), pp. 123–131. doi: 10.22365/jpsych.2021.021.</w:t>
      </w:r>
    </w:p>
    <w:p w:rsidR="00000000" w:rsidDel="00000000" w:rsidP="00000000" w:rsidRDefault="00000000" w:rsidRPr="00000000" w14:paraId="00000428">
      <w:pPr>
        <w:spacing w:after="120" w:line="276"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Musgrove, P</w:t>
      </w:r>
      <w:r w:rsidDel="00000000" w:rsidR="00000000" w:rsidRPr="00000000">
        <w:rPr>
          <w:rFonts w:ascii="Times New Roman" w:cs="Times New Roman" w:eastAsia="Times New Roman" w:hAnsi="Times New Roman"/>
          <w:i w:val="1"/>
          <w:sz w:val="24"/>
          <w:szCs w:val="24"/>
          <w:rtl w:val="0"/>
        </w:rPr>
        <w:t xml:space="preserve"> et al.</w:t>
      </w:r>
      <w:r w:rsidDel="00000000" w:rsidR="00000000" w:rsidRPr="00000000">
        <w:rPr>
          <w:rFonts w:ascii="Times New Roman" w:cs="Times New Roman" w:eastAsia="Times New Roman" w:hAnsi="Times New Roman"/>
          <w:sz w:val="24"/>
          <w:szCs w:val="24"/>
          <w:rtl w:val="0"/>
        </w:rPr>
        <w:t xml:space="preserve"> (2000) ‘The world health report 2000, health systems: improving performance’., Geneva; 2000. https://www.who.int/whr/2000/en/whr00_en.pdf?ua=1. (Πρόσβαση στις 5 Ιανουαρίου 2022).</w:t>
      </w:r>
    </w:p>
    <w:p w:rsidR="00000000" w:rsidDel="00000000" w:rsidP="00000000" w:rsidRDefault="00000000" w:rsidRPr="00000000" w14:paraId="00000429">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Murray, C. J. L. </w:t>
      </w:r>
      <w:r w:rsidDel="00000000" w:rsidR="00000000" w:rsidRPr="00000000">
        <w:rPr>
          <w:rFonts w:ascii="Times New Roman" w:cs="Times New Roman" w:eastAsia="Times New Roman" w:hAnsi="Times New Roman"/>
          <w:i w:val="1"/>
          <w:sz w:val="24"/>
          <w:szCs w:val="24"/>
          <w:rtl w:val="0"/>
        </w:rPr>
        <w:t xml:space="preserve">et al.</w:t>
      </w:r>
      <w:r w:rsidDel="00000000" w:rsidR="00000000" w:rsidRPr="00000000">
        <w:rPr>
          <w:rFonts w:ascii="Times New Roman" w:cs="Times New Roman" w:eastAsia="Times New Roman" w:hAnsi="Times New Roman"/>
          <w:sz w:val="24"/>
          <w:szCs w:val="24"/>
          <w:rtl w:val="0"/>
        </w:rPr>
        <w:t xml:space="preserve"> (2012) ‘Disability-adjusted life years (DALYs) for 291 diseases and injuries in 21 regions,  1990-2010: a systematic analysis for the Global Burden of Disease Study 2010.’, </w:t>
      </w:r>
      <w:r w:rsidDel="00000000" w:rsidR="00000000" w:rsidRPr="00000000">
        <w:rPr>
          <w:rFonts w:ascii="Times New Roman" w:cs="Times New Roman" w:eastAsia="Times New Roman" w:hAnsi="Times New Roman"/>
          <w:i w:val="1"/>
          <w:sz w:val="24"/>
          <w:szCs w:val="24"/>
          <w:rtl w:val="0"/>
        </w:rPr>
        <w:t xml:space="preserve">Lancet (London, England)</w:t>
      </w:r>
      <w:r w:rsidDel="00000000" w:rsidR="00000000" w:rsidRPr="00000000">
        <w:rPr>
          <w:rFonts w:ascii="Times New Roman" w:cs="Times New Roman" w:eastAsia="Times New Roman" w:hAnsi="Times New Roman"/>
          <w:sz w:val="24"/>
          <w:szCs w:val="24"/>
          <w:rtl w:val="0"/>
        </w:rPr>
        <w:t xml:space="preserve">, 380(9859), pp. 2197–2223. doi: 10.1016/S0140-6736(12)61689-4.</w:t>
      </w:r>
    </w:p>
    <w:p w:rsidR="00000000" w:rsidDel="00000000" w:rsidP="00000000" w:rsidRDefault="00000000" w:rsidRPr="00000000" w14:paraId="0000042A">
      <w:pPr>
        <w:spacing w:after="120" w:line="276"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National Mental Health Commission (2021) ‘National Workplace Initiative’., https://www.mentalhealthcommission.gov.au/Mental-health-Reform/National-Workplace- Initiative (Πρόσβαση στις 11 Ιανουαρίου 2022).</w:t>
      </w:r>
    </w:p>
    <w:p w:rsidR="00000000" w:rsidDel="00000000" w:rsidP="00000000" w:rsidRDefault="00000000" w:rsidRPr="00000000" w14:paraId="0000042B">
      <w:pPr>
        <w:spacing w:after="120" w:line="276"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NHS Benchmarking Network (2019) ‘International Mental Health Comparisons 2019’., NHS Benchmarking Network, Manchester.</w:t>
      </w:r>
    </w:p>
    <w:p w:rsidR="00000000" w:rsidDel="00000000" w:rsidP="00000000" w:rsidRDefault="00000000" w:rsidRPr="00000000" w14:paraId="0000042C">
      <w:pPr>
        <w:spacing w:after="120" w:line="276"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NHS England (2017) ‘Next steps on the NHS Five Year Forward View’., https://www.england.nhs.uk/publication/next-steps-on-the-nhs-five-year-forward-view/ (Πρόσβαση στις 7 Ιανουαρίου 2022).</w:t>
      </w:r>
    </w:p>
    <w:p w:rsidR="00000000" w:rsidDel="00000000" w:rsidP="00000000" w:rsidRDefault="00000000" w:rsidRPr="00000000" w14:paraId="0000042D">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Nirmala, B. P. </w:t>
      </w:r>
      <w:r w:rsidDel="00000000" w:rsidR="00000000" w:rsidRPr="00000000">
        <w:rPr>
          <w:rFonts w:ascii="Times New Roman" w:cs="Times New Roman" w:eastAsia="Times New Roman" w:hAnsi="Times New Roman"/>
          <w:i w:val="1"/>
          <w:sz w:val="24"/>
          <w:szCs w:val="24"/>
          <w:rtl w:val="0"/>
        </w:rPr>
        <w:t xml:space="preserve">et al.</w:t>
      </w:r>
      <w:r w:rsidDel="00000000" w:rsidR="00000000" w:rsidRPr="00000000">
        <w:rPr>
          <w:rFonts w:ascii="Times New Roman" w:cs="Times New Roman" w:eastAsia="Times New Roman" w:hAnsi="Times New Roman"/>
          <w:sz w:val="24"/>
          <w:szCs w:val="24"/>
          <w:rtl w:val="0"/>
        </w:rPr>
        <w:t xml:space="preserve"> (2020) ‘Employability of people with mental illness and substance use problems: Field realities’, </w:t>
      </w:r>
      <w:r w:rsidDel="00000000" w:rsidR="00000000" w:rsidRPr="00000000">
        <w:rPr>
          <w:rFonts w:ascii="Times New Roman" w:cs="Times New Roman" w:eastAsia="Times New Roman" w:hAnsi="Times New Roman"/>
          <w:i w:val="1"/>
          <w:sz w:val="24"/>
          <w:szCs w:val="24"/>
          <w:rtl w:val="0"/>
        </w:rPr>
        <w:t xml:space="preserve">Journal of family medicine and primary care</w:t>
      </w:r>
      <w:r w:rsidDel="00000000" w:rsidR="00000000" w:rsidRPr="00000000">
        <w:rPr>
          <w:rFonts w:ascii="Times New Roman" w:cs="Times New Roman" w:eastAsia="Times New Roman" w:hAnsi="Times New Roman"/>
          <w:sz w:val="24"/>
          <w:szCs w:val="24"/>
          <w:rtl w:val="0"/>
        </w:rPr>
        <w:t xml:space="preserve">, 9(7), pp. 3405–3410. doi: 10.4103/jfmpc.jfmpc_212_20.</w:t>
      </w:r>
    </w:p>
    <w:p w:rsidR="00000000" w:rsidDel="00000000" w:rsidP="00000000" w:rsidRDefault="00000000" w:rsidRPr="00000000" w14:paraId="0000042E">
      <w:pPr>
        <w:spacing w:after="120" w:line="276"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OECD (2012) ‘Sick on the Job?: Myths and Realities about Mental Health and Work, Mental Health and Work’., </w:t>
      </w:r>
      <w:r w:rsidDel="00000000" w:rsidR="00000000" w:rsidRPr="00000000">
        <w:rPr>
          <w:rFonts w:ascii="Times New Roman" w:cs="Times New Roman" w:eastAsia="Times New Roman" w:hAnsi="Times New Roman"/>
          <w:i w:val="1"/>
          <w:sz w:val="24"/>
          <w:szCs w:val="24"/>
          <w:rtl w:val="0"/>
        </w:rPr>
        <w:t xml:space="preserve">OECD Publishing</w:t>
      </w:r>
      <w:r w:rsidDel="00000000" w:rsidR="00000000" w:rsidRPr="00000000">
        <w:rPr>
          <w:rFonts w:ascii="Times New Roman" w:cs="Times New Roman" w:eastAsia="Times New Roman" w:hAnsi="Times New Roman"/>
          <w:sz w:val="24"/>
          <w:szCs w:val="24"/>
          <w:rtl w:val="0"/>
        </w:rPr>
        <w:t xml:space="preserve">, Paris, https://doi.org/10.1787/9789264124523-en.</w:t>
      </w:r>
    </w:p>
    <w:p w:rsidR="00000000" w:rsidDel="00000000" w:rsidP="00000000" w:rsidRDefault="00000000" w:rsidRPr="00000000" w14:paraId="0000042F">
      <w:pPr>
        <w:spacing w:after="120" w:line="276"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OECD (2015) ‘Recommendation of the Council on Integrated Mental Health, Skills and Work Policy’., http://legalinstruments.oecd.org.</w:t>
      </w:r>
    </w:p>
    <w:p w:rsidR="00000000" w:rsidDel="00000000" w:rsidP="00000000" w:rsidRDefault="00000000" w:rsidRPr="00000000" w14:paraId="00000430">
      <w:pPr>
        <w:spacing w:after="120" w:line="276"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OECD (2019a) ‘OECD Mental Health Performance Framework’., </w:t>
      </w:r>
      <w:r w:rsidDel="00000000" w:rsidR="00000000" w:rsidRPr="00000000">
        <w:rPr>
          <w:rFonts w:ascii="Times New Roman" w:cs="Times New Roman" w:eastAsia="Times New Roman" w:hAnsi="Times New Roman"/>
          <w:i w:val="1"/>
          <w:sz w:val="24"/>
          <w:szCs w:val="24"/>
          <w:rtl w:val="0"/>
        </w:rPr>
        <w:t xml:space="preserve">OECD Publishing, </w:t>
      </w:r>
      <w:r w:rsidDel="00000000" w:rsidR="00000000" w:rsidRPr="00000000">
        <w:rPr>
          <w:rFonts w:ascii="Times New Roman" w:cs="Times New Roman" w:eastAsia="Times New Roman" w:hAnsi="Times New Roman"/>
          <w:sz w:val="24"/>
          <w:szCs w:val="24"/>
          <w:rtl w:val="0"/>
        </w:rPr>
        <w:t xml:space="preserve">Paris. http://www.oecd.org/health/health-systems/OECD-Mental-Health-Performance-Framework- 2019.pdf.</w:t>
      </w:r>
    </w:p>
    <w:p w:rsidR="00000000" w:rsidDel="00000000" w:rsidP="00000000" w:rsidRDefault="00000000" w:rsidRPr="00000000" w14:paraId="00000431">
      <w:pPr>
        <w:spacing w:after="120" w:line="276"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OECD (2019b) ‘OECD Reviews of Public Health: Japan: A Healthier Tomorrow’., </w:t>
      </w:r>
      <w:r w:rsidDel="00000000" w:rsidR="00000000" w:rsidRPr="00000000">
        <w:rPr>
          <w:rFonts w:ascii="Times New Roman" w:cs="Times New Roman" w:eastAsia="Times New Roman" w:hAnsi="Times New Roman"/>
          <w:i w:val="1"/>
          <w:sz w:val="24"/>
          <w:szCs w:val="24"/>
          <w:rtl w:val="0"/>
        </w:rPr>
        <w:t xml:space="preserve">OECD Reviews of Public Health</w:t>
      </w:r>
      <w:r w:rsidDel="00000000" w:rsidR="00000000" w:rsidRPr="00000000">
        <w:rPr>
          <w:rFonts w:ascii="Times New Roman" w:cs="Times New Roman" w:eastAsia="Times New Roman" w:hAnsi="Times New Roman"/>
          <w:sz w:val="24"/>
          <w:szCs w:val="24"/>
          <w:rtl w:val="0"/>
        </w:rPr>
        <w:t xml:space="preserve">, OECD Publishing, Paris, https://dx.doi.org/10.1787/9789264311602-en. </w:t>
      </w:r>
    </w:p>
    <w:p w:rsidR="00000000" w:rsidDel="00000000" w:rsidP="00000000" w:rsidRDefault="00000000" w:rsidRPr="00000000" w14:paraId="00000432">
      <w:pPr>
        <w:spacing w:after="120" w:line="276"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OECD (2020a) ‘OECD Health Statistics 2020’., </w:t>
      </w:r>
      <w:r w:rsidDel="00000000" w:rsidR="00000000" w:rsidRPr="00000000">
        <w:rPr>
          <w:rFonts w:ascii="Times New Roman" w:cs="Times New Roman" w:eastAsia="Times New Roman" w:hAnsi="Times New Roman"/>
          <w:i w:val="1"/>
          <w:sz w:val="24"/>
          <w:szCs w:val="24"/>
          <w:rtl w:val="0"/>
        </w:rPr>
        <w:t xml:space="preserve">OECD Publishing</w:t>
      </w:r>
      <w:r w:rsidDel="00000000" w:rsidR="00000000" w:rsidRPr="00000000">
        <w:rPr>
          <w:rFonts w:ascii="Times New Roman" w:cs="Times New Roman" w:eastAsia="Times New Roman" w:hAnsi="Times New Roman"/>
          <w:sz w:val="24"/>
          <w:szCs w:val="24"/>
          <w:rtl w:val="0"/>
        </w:rPr>
        <w:t xml:space="preserve">, Paris, https://doi.org/10.1787/health-data-en.</w:t>
      </w:r>
    </w:p>
    <w:p w:rsidR="00000000" w:rsidDel="00000000" w:rsidP="00000000" w:rsidRDefault="00000000" w:rsidRPr="00000000" w14:paraId="00000433">
      <w:pPr>
        <w:spacing w:after="120" w:line="276"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OECD (2020b) ‘Waiting Times for Health Services: Next in Line’., </w:t>
      </w:r>
      <w:r w:rsidDel="00000000" w:rsidR="00000000" w:rsidRPr="00000000">
        <w:rPr>
          <w:rFonts w:ascii="Times New Roman" w:cs="Times New Roman" w:eastAsia="Times New Roman" w:hAnsi="Times New Roman"/>
          <w:i w:val="1"/>
          <w:sz w:val="24"/>
          <w:szCs w:val="24"/>
          <w:rtl w:val="0"/>
        </w:rPr>
        <w:t xml:space="preserve">OECD Health Policy Studies</w:t>
      </w:r>
      <w:r w:rsidDel="00000000" w:rsidR="00000000" w:rsidRPr="00000000">
        <w:rPr>
          <w:rFonts w:ascii="Times New Roman" w:cs="Times New Roman" w:eastAsia="Times New Roman" w:hAnsi="Times New Roman"/>
          <w:sz w:val="24"/>
          <w:szCs w:val="24"/>
          <w:rtl w:val="0"/>
        </w:rPr>
        <w:t xml:space="preserve">, OECD Publishing, Paris, https://dx.doi.org/10.1787/242e3c8c-en.</w:t>
      </w:r>
    </w:p>
    <w:p w:rsidR="00000000" w:rsidDel="00000000" w:rsidP="00000000" w:rsidRDefault="00000000" w:rsidRPr="00000000" w14:paraId="00000434">
      <w:pPr>
        <w:spacing w:after="120" w:line="276"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OECD (2020c) ‘OECD Health Statistics 2020, OECD Publishing’., Paris, https://doi.org/10.1787/health-data-en.</w:t>
      </w:r>
    </w:p>
    <w:p w:rsidR="00000000" w:rsidDel="00000000" w:rsidP="00000000" w:rsidRDefault="00000000" w:rsidRPr="00000000" w14:paraId="00000435">
      <w:pPr>
        <w:spacing w:after="120" w:line="276"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OECD (2014) ‘Making mental health count:the social and economic costs of neglecting mental health care’., </w:t>
      </w:r>
      <w:r w:rsidDel="00000000" w:rsidR="00000000" w:rsidRPr="00000000">
        <w:rPr>
          <w:rFonts w:ascii="Times New Roman" w:cs="Times New Roman" w:eastAsia="Times New Roman" w:hAnsi="Times New Roman"/>
          <w:i w:val="1"/>
          <w:sz w:val="24"/>
          <w:szCs w:val="24"/>
          <w:rtl w:val="0"/>
        </w:rPr>
        <w:t xml:space="preserve">OECD Health Policies Studies</w:t>
      </w:r>
      <w:r w:rsidDel="00000000" w:rsidR="00000000" w:rsidRPr="00000000">
        <w:rPr>
          <w:rFonts w:ascii="Times New Roman" w:cs="Times New Roman" w:eastAsia="Times New Roman" w:hAnsi="Times New Roman"/>
          <w:sz w:val="24"/>
          <w:szCs w:val="24"/>
          <w:rtl w:val="0"/>
        </w:rPr>
        <w:t xml:space="preserve">, OECD Publishing; Paris, 2014</w:t>
      </w:r>
    </w:p>
    <w:p w:rsidR="00000000" w:rsidDel="00000000" w:rsidP="00000000" w:rsidRDefault="00000000" w:rsidRPr="00000000" w14:paraId="00000436">
      <w:pPr>
        <w:spacing w:after="120" w:line="276"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OECD/European Union (2020) ‘Health at a Glance: Europe 2020: State of Health in the EU Cycle’., </w:t>
      </w:r>
      <w:r w:rsidDel="00000000" w:rsidR="00000000" w:rsidRPr="00000000">
        <w:rPr>
          <w:rFonts w:ascii="Times New Roman" w:cs="Times New Roman" w:eastAsia="Times New Roman" w:hAnsi="Times New Roman"/>
          <w:i w:val="1"/>
          <w:sz w:val="24"/>
          <w:szCs w:val="24"/>
          <w:rtl w:val="0"/>
        </w:rPr>
        <w:t xml:space="preserve">OECD Publishing</w:t>
      </w:r>
      <w:r w:rsidDel="00000000" w:rsidR="00000000" w:rsidRPr="00000000">
        <w:rPr>
          <w:rFonts w:ascii="Times New Roman" w:cs="Times New Roman" w:eastAsia="Times New Roman" w:hAnsi="Times New Roman"/>
          <w:sz w:val="24"/>
          <w:szCs w:val="24"/>
          <w:rtl w:val="0"/>
        </w:rPr>
        <w:t xml:space="preserve">, Paris, https://dx.doi.org/10.1787/82129230-en. </w:t>
      </w:r>
    </w:p>
    <w:p w:rsidR="00000000" w:rsidDel="00000000" w:rsidP="00000000" w:rsidRDefault="00000000" w:rsidRPr="00000000" w14:paraId="00000437">
      <w:pPr>
        <w:widowControl w:val="0"/>
        <w:spacing w:after="160" w:line="240" w:lineRule="auto"/>
        <w:ind w:hanging="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38">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Opoku-Boateng, Y. N. </w:t>
      </w:r>
      <w:r w:rsidDel="00000000" w:rsidR="00000000" w:rsidRPr="00000000">
        <w:rPr>
          <w:rFonts w:ascii="Times New Roman" w:cs="Times New Roman" w:eastAsia="Times New Roman" w:hAnsi="Times New Roman"/>
          <w:i w:val="1"/>
          <w:sz w:val="24"/>
          <w:szCs w:val="24"/>
          <w:rtl w:val="0"/>
        </w:rPr>
        <w:t xml:space="preserve">et al.</w:t>
      </w:r>
      <w:r w:rsidDel="00000000" w:rsidR="00000000" w:rsidRPr="00000000">
        <w:rPr>
          <w:rFonts w:ascii="Times New Roman" w:cs="Times New Roman" w:eastAsia="Times New Roman" w:hAnsi="Times New Roman"/>
          <w:sz w:val="24"/>
          <w:szCs w:val="24"/>
          <w:rtl w:val="0"/>
        </w:rPr>
        <w:t xml:space="preserve"> (2017) ‘Economic cost and quality of life of family caregivers of schizophrenic patients attending psychiatric hospitals in Ghana’, </w:t>
      </w:r>
      <w:r w:rsidDel="00000000" w:rsidR="00000000" w:rsidRPr="00000000">
        <w:rPr>
          <w:rFonts w:ascii="Times New Roman" w:cs="Times New Roman" w:eastAsia="Times New Roman" w:hAnsi="Times New Roman"/>
          <w:i w:val="1"/>
          <w:sz w:val="24"/>
          <w:szCs w:val="24"/>
          <w:rtl w:val="0"/>
        </w:rPr>
        <w:t xml:space="preserve">BMC Health Services Research</w:t>
      </w:r>
      <w:r w:rsidDel="00000000" w:rsidR="00000000" w:rsidRPr="00000000">
        <w:rPr>
          <w:rFonts w:ascii="Times New Roman" w:cs="Times New Roman" w:eastAsia="Times New Roman" w:hAnsi="Times New Roman"/>
          <w:sz w:val="24"/>
          <w:szCs w:val="24"/>
          <w:rtl w:val="0"/>
        </w:rPr>
        <w:t xml:space="preserve">, 17(2), p. 697. doi: 10.1186/s12913-017-2642-0.</w:t>
      </w:r>
    </w:p>
    <w:p w:rsidR="00000000" w:rsidDel="00000000" w:rsidP="00000000" w:rsidRDefault="00000000" w:rsidRPr="00000000" w14:paraId="00000439">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Peritogiannis, V. and Tsoli, F. (2021) ‘The Greek Hybrid Version of the Assertive Community Treatment Model: A Perspective View between Challenges and Limitations’, </w:t>
      </w:r>
      <w:r w:rsidDel="00000000" w:rsidR="00000000" w:rsidRPr="00000000">
        <w:rPr>
          <w:rFonts w:ascii="Times New Roman" w:cs="Times New Roman" w:eastAsia="Times New Roman" w:hAnsi="Times New Roman"/>
          <w:i w:val="1"/>
          <w:sz w:val="24"/>
          <w:szCs w:val="24"/>
          <w:rtl w:val="0"/>
        </w:rPr>
        <w:t xml:space="preserve">Psych </w:t>
      </w:r>
      <w:r w:rsidDel="00000000" w:rsidR="00000000" w:rsidRPr="00000000">
        <w:rPr>
          <w:rFonts w:ascii="Times New Roman" w:cs="Times New Roman" w:eastAsia="Times New Roman" w:hAnsi="Times New Roman"/>
          <w:sz w:val="24"/>
          <w:szCs w:val="24"/>
          <w:rtl w:val="0"/>
        </w:rPr>
        <w:t xml:space="preserve">. doi: 10.3390/psych3040050.</w:t>
      </w:r>
    </w:p>
    <w:p w:rsidR="00000000" w:rsidDel="00000000" w:rsidP="00000000" w:rsidRDefault="00000000" w:rsidRPr="00000000" w14:paraId="0000043A">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Quirk, S. E. </w:t>
      </w:r>
      <w:r w:rsidDel="00000000" w:rsidR="00000000" w:rsidRPr="00000000">
        <w:rPr>
          <w:rFonts w:ascii="Times New Roman" w:cs="Times New Roman" w:eastAsia="Times New Roman" w:hAnsi="Times New Roman"/>
          <w:i w:val="1"/>
          <w:sz w:val="24"/>
          <w:szCs w:val="24"/>
          <w:rtl w:val="0"/>
        </w:rPr>
        <w:t xml:space="preserve">et al.</w:t>
      </w:r>
      <w:r w:rsidDel="00000000" w:rsidR="00000000" w:rsidRPr="00000000">
        <w:rPr>
          <w:rFonts w:ascii="Times New Roman" w:cs="Times New Roman" w:eastAsia="Times New Roman" w:hAnsi="Times New Roman"/>
          <w:sz w:val="24"/>
          <w:szCs w:val="24"/>
          <w:rtl w:val="0"/>
        </w:rPr>
        <w:t xml:space="preserve"> (2013) ‘The association between diet quality, dietary patterns and depression in adults: a  systematic review.’, </w:t>
      </w:r>
      <w:r w:rsidDel="00000000" w:rsidR="00000000" w:rsidRPr="00000000">
        <w:rPr>
          <w:rFonts w:ascii="Times New Roman" w:cs="Times New Roman" w:eastAsia="Times New Roman" w:hAnsi="Times New Roman"/>
          <w:i w:val="1"/>
          <w:sz w:val="24"/>
          <w:szCs w:val="24"/>
          <w:rtl w:val="0"/>
        </w:rPr>
        <w:t xml:space="preserve">BMC psychiatry</w:t>
      </w:r>
      <w:r w:rsidDel="00000000" w:rsidR="00000000" w:rsidRPr="00000000">
        <w:rPr>
          <w:rFonts w:ascii="Times New Roman" w:cs="Times New Roman" w:eastAsia="Times New Roman" w:hAnsi="Times New Roman"/>
          <w:sz w:val="24"/>
          <w:szCs w:val="24"/>
          <w:rtl w:val="0"/>
        </w:rPr>
        <w:t xml:space="preserve">, 13, p. 175. doi: 10.1186/1471-244X-13-175.</w:t>
      </w:r>
    </w:p>
    <w:p w:rsidR="00000000" w:rsidDel="00000000" w:rsidP="00000000" w:rsidRDefault="00000000" w:rsidRPr="00000000" w14:paraId="0000043B">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Samartzis, L. and Talias, M. A. (2019) ‘Assessing and Improving the Quality in Mental Health Services’, </w:t>
      </w:r>
      <w:r w:rsidDel="00000000" w:rsidR="00000000" w:rsidRPr="00000000">
        <w:rPr>
          <w:rFonts w:ascii="Times New Roman" w:cs="Times New Roman" w:eastAsia="Times New Roman" w:hAnsi="Times New Roman"/>
          <w:i w:val="1"/>
          <w:sz w:val="24"/>
          <w:szCs w:val="24"/>
          <w:rtl w:val="0"/>
        </w:rPr>
        <w:t xml:space="preserve">International journal of environmental research and public health</w:t>
      </w:r>
      <w:r w:rsidDel="00000000" w:rsidR="00000000" w:rsidRPr="00000000">
        <w:rPr>
          <w:rFonts w:ascii="Times New Roman" w:cs="Times New Roman" w:eastAsia="Times New Roman" w:hAnsi="Times New Roman"/>
          <w:sz w:val="24"/>
          <w:szCs w:val="24"/>
          <w:rtl w:val="0"/>
        </w:rPr>
        <w:t xml:space="preserve">, 17(1), p. 249. doi: 10.3390/ijerph17010249.</w:t>
      </w:r>
    </w:p>
    <w:p w:rsidR="00000000" w:rsidDel="00000000" w:rsidP="00000000" w:rsidRDefault="00000000" w:rsidRPr="00000000" w14:paraId="0000043C">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Schofield, D. J. </w:t>
      </w:r>
      <w:r w:rsidDel="00000000" w:rsidR="00000000" w:rsidRPr="00000000">
        <w:rPr>
          <w:rFonts w:ascii="Times New Roman" w:cs="Times New Roman" w:eastAsia="Times New Roman" w:hAnsi="Times New Roman"/>
          <w:i w:val="1"/>
          <w:sz w:val="24"/>
          <w:szCs w:val="24"/>
          <w:rtl w:val="0"/>
        </w:rPr>
        <w:t xml:space="preserve">et al.</w:t>
      </w:r>
      <w:r w:rsidDel="00000000" w:rsidR="00000000" w:rsidRPr="00000000">
        <w:rPr>
          <w:rFonts w:ascii="Times New Roman" w:cs="Times New Roman" w:eastAsia="Times New Roman" w:hAnsi="Times New Roman"/>
          <w:sz w:val="24"/>
          <w:szCs w:val="24"/>
          <w:rtl w:val="0"/>
        </w:rPr>
        <w:t xml:space="preserve"> (2011) ‘The personal and national costs of mental health conditions: impacts on income,  taxes, government support payments due to lost labour force participation.’, </w:t>
      </w:r>
      <w:r w:rsidDel="00000000" w:rsidR="00000000" w:rsidRPr="00000000">
        <w:rPr>
          <w:rFonts w:ascii="Times New Roman" w:cs="Times New Roman" w:eastAsia="Times New Roman" w:hAnsi="Times New Roman"/>
          <w:i w:val="1"/>
          <w:sz w:val="24"/>
          <w:szCs w:val="24"/>
          <w:rtl w:val="0"/>
        </w:rPr>
        <w:t xml:space="preserve">BMC psychiatry</w:t>
      </w:r>
      <w:r w:rsidDel="00000000" w:rsidR="00000000" w:rsidRPr="00000000">
        <w:rPr>
          <w:rFonts w:ascii="Times New Roman" w:cs="Times New Roman" w:eastAsia="Times New Roman" w:hAnsi="Times New Roman"/>
          <w:sz w:val="24"/>
          <w:szCs w:val="24"/>
          <w:rtl w:val="0"/>
        </w:rPr>
        <w:t xml:space="preserve">, 11, p. 72. doi: 10.1186/1471-244X-11-72.</w:t>
      </w:r>
    </w:p>
    <w:p w:rsidR="00000000" w:rsidDel="00000000" w:rsidP="00000000" w:rsidRDefault="00000000" w:rsidRPr="00000000" w14:paraId="0000043D">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Smith, D. J. </w:t>
      </w:r>
      <w:r w:rsidDel="00000000" w:rsidR="00000000" w:rsidRPr="00000000">
        <w:rPr>
          <w:rFonts w:ascii="Times New Roman" w:cs="Times New Roman" w:eastAsia="Times New Roman" w:hAnsi="Times New Roman"/>
          <w:i w:val="1"/>
          <w:sz w:val="24"/>
          <w:szCs w:val="24"/>
          <w:rtl w:val="0"/>
        </w:rPr>
        <w:t xml:space="preserve">et al.</w:t>
      </w:r>
      <w:r w:rsidDel="00000000" w:rsidR="00000000" w:rsidRPr="00000000">
        <w:rPr>
          <w:rFonts w:ascii="Times New Roman" w:cs="Times New Roman" w:eastAsia="Times New Roman" w:hAnsi="Times New Roman"/>
          <w:sz w:val="24"/>
          <w:szCs w:val="24"/>
          <w:rtl w:val="0"/>
        </w:rPr>
        <w:t xml:space="preserve"> (2013) ‘Schizophrenia is associated with excess multiple physical-health comorbidities but  low levels of recorded cardiovascular disease in primary care: cross-sectional study.’, </w:t>
      </w:r>
      <w:r w:rsidDel="00000000" w:rsidR="00000000" w:rsidRPr="00000000">
        <w:rPr>
          <w:rFonts w:ascii="Times New Roman" w:cs="Times New Roman" w:eastAsia="Times New Roman" w:hAnsi="Times New Roman"/>
          <w:i w:val="1"/>
          <w:sz w:val="24"/>
          <w:szCs w:val="24"/>
          <w:rtl w:val="0"/>
        </w:rPr>
        <w:t xml:space="preserve">BMJ open</w:t>
      </w:r>
      <w:r w:rsidDel="00000000" w:rsidR="00000000" w:rsidRPr="00000000">
        <w:rPr>
          <w:rFonts w:ascii="Times New Roman" w:cs="Times New Roman" w:eastAsia="Times New Roman" w:hAnsi="Times New Roman"/>
          <w:sz w:val="24"/>
          <w:szCs w:val="24"/>
          <w:rtl w:val="0"/>
        </w:rPr>
        <w:t xml:space="preserve">, 3(4). doi: 10.1136/bmjopen-2013-002808.</w:t>
      </w:r>
    </w:p>
    <w:p w:rsidR="00000000" w:rsidDel="00000000" w:rsidP="00000000" w:rsidRDefault="00000000" w:rsidRPr="00000000" w14:paraId="0000043E">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Souliotis, K. </w:t>
      </w:r>
      <w:r w:rsidDel="00000000" w:rsidR="00000000" w:rsidRPr="00000000">
        <w:rPr>
          <w:rFonts w:ascii="Times New Roman" w:cs="Times New Roman" w:eastAsia="Times New Roman" w:hAnsi="Times New Roman"/>
          <w:i w:val="1"/>
          <w:sz w:val="24"/>
          <w:szCs w:val="24"/>
          <w:rtl w:val="0"/>
        </w:rPr>
        <w:t xml:space="preserve">et al.</w:t>
      </w:r>
      <w:r w:rsidDel="00000000" w:rsidR="00000000" w:rsidRPr="00000000">
        <w:rPr>
          <w:rFonts w:ascii="Times New Roman" w:cs="Times New Roman" w:eastAsia="Times New Roman" w:hAnsi="Times New Roman"/>
          <w:sz w:val="24"/>
          <w:szCs w:val="24"/>
          <w:rtl w:val="0"/>
        </w:rPr>
        <w:t xml:space="preserve"> (2017) ‘Psychiatrists role in primary health care in Greece: findings from a quantitative study’, </w:t>
      </w:r>
      <w:r w:rsidDel="00000000" w:rsidR="00000000" w:rsidRPr="00000000">
        <w:rPr>
          <w:rFonts w:ascii="Times New Roman" w:cs="Times New Roman" w:eastAsia="Times New Roman" w:hAnsi="Times New Roman"/>
          <w:i w:val="1"/>
          <w:sz w:val="24"/>
          <w:szCs w:val="24"/>
          <w:rtl w:val="0"/>
        </w:rPr>
        <w:t xml:space="preserve">International Journal of Mental Health Systems</w:t>
      </w:r>
      <w:r w:rsidDel="00000000" w:rsidR="00000000" w:rsidRPr="00000000">
        <w:rPr>
          <w:rFonts w:ascii="Times New Roman" w:cs="Times New Roman" w:eastAsia="Times New Roman" w:hAnsi="Times New Roman"/>
          <w:sz w:val="24"/>
          <w:szCs w:val="24"/>
          <w:rtl w:val="0"/>
        </w:rPr>
        <w:t xml:space="preserve">, 11(1), p. 65. doi: 10.1186/s13033-017-0172-0.</w:t>
      </w:r>
    </w:p>
    <w:p w:rsidR="00000000" w:rsidDel="00000000" w:rsidP="00000000" w:rsidRDefault="00000000" w:rsidRPr="00000000" w14:paraId="0000043F">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Stuart, H. (2006) ‘Mental illness and employment discrimination’, </w:t>
      </w:r>
      <w:r w:rsidDel="00000000" w:rsidR="00000000" w:rsidRPr="00000000">
        <w:rPr>
          <w:rFonts w:ascii="Times New Roman" w:cs="Times New Roman" w:eastAsia="Times New Roman" w:hAnsi="Times New Roman"/>
          <w:i w:val="1"/>
          <w:sz w:val="24"/>
          <w:szCs w:val="24"/>
          <w:rtl w:val="0"/>
        </w:rPr>
        <w:t xml:space="preserve">Current Opinion in Psychiatry</w:t>
      </w:r>
      <w:r w:rsidDel="00000000" w:rsidR="00000000" w:rsidRPr="00000000">
        <w:rPr>
          <w:rFonts w:ascii="Times New Roman" w:cs="Times New Roman" w:eastAsia="Times New Roman" w:hAnsi="Times New Roman"/>
          <w:sz w:val="24"/>
          <w:szCs w:val="24"/>
          <w:rtl w:val="0"/>
        </w:rPr>
        <w:t xml:space="preserve">, 19(5). Available at: https://journals.lww.com/co-psychiatry/Fulltext/2006/09000/Mental_illness_and_employment_discrimination.14.aspx.</w:t>
      </w:r>
    </w:p>
    <w:p w:rsidR="00000000" w:rsidDel="00000000" w:rsidP="00000000" w:rsidRDefault="00000000" w:rsidRPr="00000000" w14:paraId="00000440">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Stylianidis, S. </w:t>
      </w:r>
      <w:r w:rsidDel="00000000" w:rsidR="00000000" w:rsidRPr="00000000">
        <w:rPr>
          <w:rFonts w:ascii="Times New Roman" w:cs="Times New Roman" w:eastAsia="Times New Roman" w:hAnsi="Times New Roman"/>
          <w:i w:val="1"/>
          <w:sz w:val="24"/>
          <w:szCs w:val="24"/>
          <w:rtl w:val="0"/>
        </w:rPr>
        <w:t xml:space="preserve">et al.</w:t>
      </w:r>
      <w:r w:rsidDel="00000000" w:rsidR="00000000" w:rsidRPr="00000000">
        <w:rPr>
          <w:rFonts w:ascii="Times New Roman" w:cs="Times New Roman" w:eastAsia="Times New Roman" w:hAnsi="Times New Roman"/>
          <w:sz w:val="24"/>
          <w:szCs w:val="24"/>
          <w:rtl w:val="0"/>
        </w:rPr>
        <w:t xml:space="preserve"> (2017) ‘Mental health care in Athens: Are compulsory admissions in Greece a one-way road?’, </w:t>
      </w:r>
      <w:r w:rsidDel="00000000" w:rsidR="00000000" w:rsidRPr="00000000">
        <w:rPr>
          <w:rFonts w:ascii="Times New Roman" w:cs="Times New Roman" w:eastAsia="Times New Roman" w:hAnsi="Times New Roman"/>
          <w:i w:val="1"/>
          <w:sz w:val="24"/>
          <w:szCs w:val="24"/>
          <w:rtl w:val="0"/>
        </w:rPr>
        <w:t xml:space="preserve">International journal of law and psychiatry</w:t>
      </w:r>
      <w:r w:rsidDel="00000000" w:rsidR="00000000" w:rsidRPr="00000000">
        <w:rPr>
          <w:rFonts w:ascii="Times New Roman" w:cs="Times New Roman" w:eastAsia="Times New Roman" w:hAnsi="Times New Roman"/>
          <w:sz w:val="24"/>
          <w:szCs w:val="24"/>
          <w:rtl w:val="0"/>
        </w:rPr>
        <w:t xml:space="preserve">, 52, pp. 28–34. doi: 10.1016/j.ijlp.2017.04.001.</w:t>
      </w:r>
    </w:p>
    <w:p w:rsidR="00000000" w:rsidDel="00000000" w:rsidP="00000000" w:rsidRDefault="00000000" w:rsidRPr="00000000" w14:paraId="00000441">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Tarricone, R. </w:t>
      </w:r>
      <w:r w:rsidDel="00000000" w:rsidR="00000000" w:rsidRPr="00000000">
        <w:rPr>
          <w:rFonts w:ascii="Times New Roman" w:cs="Times New Roman" w:eastAsia="Times New Roman" w:hAnsi="Times New Roman"/>
          <w:i w:val="1"/>
          <w:sz w:val="24"/>
          <w:szCs w:val="24"/>
          <w:rtl w:val="0"/>
        </w:rPr>
        <w:t xml:space="preserve">et al.</w:t>
      </w:r>
      <w:r w:rsidDel="00000000" w:rsidR="00000000" w:rsidRPr="00000000">
        <w:rPr>
          <w:rFonts w:ascii="Times New Roman" w:cs="Times New Roman" w:eastAsia="Times New Roman" w:hAnsi="Times New Roman"/>
          <w:sz w:val="24"/>
          <w:szCs w:val="24"/>
          <w:rtl w:val="0"/>
        </w:rPr>
        <w:t xml:space="preserve"> (2000) ‘Direct and indirect costs of schizophrenia in community psychiatric services in  Italy. The GISIES study. Interdisciplinary Study Group on the Economic Impact of Schizophrenia.’, </w:t>
      </w:r>
      <w:r w:rsidDel="00000000" w:rsidR="00000000" w:rsidRPr="00000000">
        <w:rPr>
          <w:rFonts w:ascii="Times New Roman" w:cs="Times New Roman" w:eastAsia="Times New Roman" w:hAnsi="Times New Roman"/>
          <w:i w:val="1"/>
          <w:sz w:val="24"/>
          <w:szCs w:val="24"/>
          <w:rtl w:val="0"/>
        </w:rPr>
        <w:t xml:space="preserve">Health policy (Amsterdam, Netherlands)</w:t>
      </w:r>
      <w:r w:rsidDel="00000000" w:rsidR="00000000" w:rsidRPr="00000000">
        <w:rPr>
          <w:rFonts w:ascii="Times New Roman" w:cs="Times New Roman" w:eastAsia="Times New Roman" w:hAnsi="Times New Roman"/>
          <w:sz w:val="24"/>
          <w:szCs w:val="24"/>
          <w:rtl w:val="0"/>
        </w:rPr>
        <w:t xml:space="preserve">, 51(1), pp. 1–18. doi: 10.1016/s0168-8510(99)00078-0.</w:t>
      </w:r>
    </w:p>
    <w:p w:rsidR="00000000" w:rsidDel="00000000" w:rsidP="00000000" w:rsidRDefault="00000000" w:rsidRPr="00000000" w14:paraId="00000442">
      <w:pPr>
        <w:spacing w:after="120" w:line="276"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Mentally Healthy Workplace Alliance (2018) ‘The Mentally Healthy Workplace Alliance’., https://mentallyhealthyworkplacealliance.org.au/ (Πρόσβαση στις 3Ιανουαρίου 2022).</w:t>
      </w:r>
    </w:p>
    <w:p w:rsidR="00000000" w:rsidDel="00000000" w:rsidP="00000000" w:rsidRDefault="00000000" w:rsidRPr="00000000" w14:paraId="00000443">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Thornicroft, G. </w:t>
      </w:r>
      <w:r w:rsidDel="00000000" w:rsidR="00000000" w:rsidRPr="00000000">
        <w:rPr>
          <w:rFonts w:ascii="Times New Roman" w:cs="Times New Roman" w:eastAsia="Times New Roman" w:hAnsi="Times New Roman"/>
          <w:i w:val="1"/>
          <w:sz w:val="24"/>
          <w:szCs w:val="24"/>
          <w:rtl w:val="0"/>
        </w:rPr>
        <w:t xml:space="preserve">et al.</w:t>
      </w:r>
      <w:r w:rsidDel="00000000" w:rsidR="00000000" w:rsidRPr="00000000">
        <w:rPr>
          <w:rFonts w:ascii="Times New Roman" w:cs="Times New Roman" w:eastAsia="Times New Roman" w:hAnsi="Times New Roman"/>
          <w:sz w:val="24"/>
          <w:szCs w:val="24"/>
          <w:rtl w:val="0"/>
        </w:rPr>
        <w:t xml:space="preserve"> (2004) ‘The personal impact of schizophrenia in Europe.’, </w:t>
      </w:r>
      <w:r w:rsidDel="00000000" w:rsidR="00000000" w:rsidRPr="00000000">
        <w:rPr>
          <w:rFonts w:ascii="Times New Roman" w:cs="Times New Roman" w:eastAsia="Times New Roman" w:hAnsi="Times New Roman"/>
          <w:i w:val="1"/>
          <w:sz w:val="24"/>
          <w:szCs w:val="24"/>
          <w:rtl w:val="0"/>
        </w:rPr>
        <w:t xml:space="preserve">Schizophrenia research</w:t>
      </w:r>
      <w:r w:rsidDel="00000000" w:rsidR="00000000" w:rsidRPr="00000000">
        <w:rPr>
          <w:rFonts w:ascii="Times New Roman" w:cs="Times New Roman" w:eastAsia="Times New Roman" w:hAnsi="Times New Roman"/>
          <w:sz w:val="24"/>
          <w:szCs w:val="24"/>
          <w:rtl w:val="0"/>
        </w:rPr>
        <w:t xml:space="preserve">, 69(2–3), pp. 125–132. doi: 10.1016/s0920-9964(03)00191-9.</w:t>
      </w:r>
    </w:p>
    <w:p w:rsidR="00000000" w:rsidDel="00000000" w:rsidP="00000000" w:rsidRDefault="00000000" w:rsidRPr="00000000" w14:paraId="00000444">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Trautmann, S., Rehm, J. and Wittchen, H.-U. (2016) ‘The economic costs of mental disorders: Do our societies react appropriately to the  burden of mental disorders?’, </w:t>
      </w:r>
      <w:r w:rsidDel="00000000" w:rsidR="00000000" w:rsidRPr="00000000">
        <w:rPr>
          <w:rFonts w:ascii="Times New Roman" w:cs="Times New Roman" w:eastAsia="Times New Roman" w:hAnsi="Times New Roman"/>
          <w:i w:val="1"/>
          <w:sz w:val="24"/>
          <w:szCs w:val="24"/>
          <w:rtl w:val="0"/>
        </w:rPr>
        <w:t xml:space="preserve">EMBO reports</w:t>
      </w:r>
      <w:r w:rsidDel="00000000" w:rsidR="00000000" w:rsidRPr="00000000">
        <w:rPr>
          <w:rFonts w:ascii="Times New Roman" w:cs="Times New Roman" w:eastAsia="Times New Roman" w:hAnsi="Times New Roman"/>
          <w:sz w:val="24"/>
          <w:szCs w:val="24"/>
          <w:rtl w:val="0"/>
        </w:rPr>
        <w:t xml:space="preserve">, 17(9), pp. 1245–1249. doi: 10.15252/embr.201642951.</w:t>
      </w:r>
    </w:p>
    <w:p w:rsidR="00000000" w:rsidDel="00000000" w:rsidP="00000000" w:rsidRDefault="00000000" w:rsidRPr="00000000" w14:paraId="00000445">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Turnpenny, A. </w:t>
      </w:r>
      <w:r w:rsidDel="00000000" w:rsidR="00000000" w:rsidRPr="00000000">
        <w:rPr>
          <w:rFonts w:ascii="Times New Roman" w:cs="Times New Roman" w:eastAsia="Times New Roman" w:hAnsi="Times New Roman"/>
          <w:i w:val="1"/>
          <w:sz w:val="24"/>
          <w:szCs w:val="24"/>
          <w:rtl w:val="0"/>
        </w:rPr>
        <w:t xml:space="preserve">et al.</w:t>
      </w:r>
      <w:r w:rsidDel="00000000" w:rsidR="00000000" w:rsidRPr="00000000">
        <w:rPr>
          <w:rFonts w:ascii="Times New Roman" w:cs="Times New Roman" w:eastAsia="Times New Roman" w:hAnsi="Times New Roman"/>
          <w:sz w:val="24"/>
          <w:szCs w:val="24"/>
          <w:rtl w:val="0"/>
        </w:rPr>
        <w:t xml:space="preserve"> (2018) </w:t>
      </w:r>
      <w:r w:rsidDel="00000000" w:rsidR="00000000" w:rsidRPr="00000000">
        <w:rPr>
          <w:rFonts w:ascii="Times New Roman" w:cs="Times New Roman" w:eastAsia="Times New Roman" w:hAnsi="Times New Roman"/>
          <w:i w:val="1"/>
          <w:sz w:val="24"/>
          <w:szCs w:val="24"/>
          <w:rtl w:val="0"/>
        </w:rPr>
        <w:t xml:space="preserve">Mapping and Understanding Exclusion - Institutional, coercive and community-based services and practices across Europe</w:t>
      </w:r>
      <w:r w:rsidDel="00000000" w:rsidR="00000000" w:rsidRPr="00000000">
        <w:rPr>
          <w:rFonts w:ascii="Times New Roman" w:cs="Times New Roman" w:eastAsia="Times New Roman" w:hAnsi="Times New Roman"/>
          <w:sz w:val="24"/>
          <w:szCs w:val="24"/>
          <w:rtl w:val="0"/>
        </w:rPr>
        <w:t xml:space="preserve">. doi: 10.22024/UniKent/01.02/64970.</w:t>
      </w:r>
    </w:p>
    <w:p w:rsidR="00000000" w:rsidDel="00000000" w:rsidP="00000000" w:rsidRDefault="00000000" w:rsidRPr="00000000" w14:paraId="00000446">
      <w:pPr>
        <w:spacing w:after="120" w:line="276"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Union, O. (2018) ‘Health at a Glance: Europe 2018: State of Health in the EU Cycle’., </w:t>
      </w:r>
      <w:r w:rsidDel="00000000" w:rsidR="00000000" w:rsidRPr="00000000">
        <w:rPr>
          <w:rFonts w:ascii="Times New Roman" w:cs="Times New Roman" w:eastAsia="Times New Roman" w:hAnsi="Times New Roman"/>
          <w:i w:val="1"/>
          <w:sz w:val="24"/>
          <w:szCs w:val="24"/>
          <w:rtl w:val="0"/>
        </w:rPr>
        <w:t xml:space="preserve">OECD Publishing</w:t>
      </w:r>
      <w:r w:rsidDel="00000000" w:rsidR="00000000" w:rsidRPr="00000000">
        <w:rPr>
          <w:rFonts w:ascii="Times New Roman" w:cs="Times New Roman" w:eastAsia="Times New Roman" w:hAnsi="Times New Roman"/>
          <w:sz w:val="24"/>
          <w:szCs w:val="24"/>
          <w:rtl w:val="0"/>
        </w:rPr>
        <w:t xml:space="preserve">, Paris/European Union, Brussels, https://doi.org/10.1787/health_glance_eur-2018-en.  </w:t>
      </w:r>
    </w:p>
    <w:p w:rsidR="00000000" w:rsidDel="00000000" w:rsidP="00000000" w:rsidRDefault="00000000" w:rsidRPr="00000000" w14:paraId="00000447">
      <w:pPr>
        <w:widowControl w:val="0"/>
        <w:spacing w:after="160" w:line="240" w:lineRule="auto"/>
        <w:ind w:hanging="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48">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Vancampfort, D. </w:t>
      </w:r>
      <w:r w:rsidDel="00000000" w:rsidR="00000000" w:rsidRPr="00000000">
        <w:rPr>
          <w:rFonts w:ascii="Times New Roman" w:cs="Times New Roman" w:eastAsia="Times New Roman" w:hAnsi="Times New Roman"/>
          <w:i w:val="1"/>
          <w:sz w:val="24"/>
          <w:szCs w:val="24"/>
          <w:rtl w:val="0"/>
        </w:rPr>
        <w:t xml:space="preserve">et al.</w:t>
      </w:r>
      <w:r w:rsidDel="00000000" w:rsidR="00000000" w:rsidRPr="00000000">
        <w:rPr>
          <w:rFonts w:ascii="Times New Roman" w:cs="Times New Roman" w:eastAsia="Times New Roman" w:hAnsi="Times New Roman"/>
          <w:sz w:val="24"/>
          <w:szCs w:val="24"/>
          <w:rtl w:val="0"/>
        </w:rPr>
        <w:t xml:space="preserve"> (2015) ‘Risk of metabolic syndrome and its components in people with schizophrenia and  related psychotic disorders, bipolar disorder and major depressive disorder: a systematic review and meta-analysis.’, </w:t>
      </w:r>
      <w:r w:rsidDel="00000000" w:rsidR="00000000" w:rsidRPr="00000000">
        <w:rPr>
          <w:rFonts w:ascii="Times New Roman" w:cs="Times New Roman" w:eastAsia="Times New Roman" w:hAnsi="Times New Roman"/>
          <w:i w:val="1"/>
          <w:sz w:val="24"/>
          <w:szCs w:val="24"/>
          <w:rtl w:val="0"/>
        </w:rPr>
        <w:t xml:space="preserve">World psychiatry : official journal of the World Psychiatric Association (WPA)</w:t>
      </w:r>
      <w:r w:rsidDel="00000000" w:rsidR="00000000" w:rsidRPr="00000000">
        <w:rPr>
          <w:rFonts w:ascii="Times New Roman" w:cs="Times New Roman" w:eastAsia="Times New Roman" w:hAnsi="Times New Roman"/>
          <w:sz w:val="24"/>
          <w:szCs w:val="24"/>
          <w:rtl w:val="0"/>
        </w:rPr>
        <w:t xml:space="preserve">, 14(3), pp. 339–347. doi: 10.1002/wps.20252.</w:t>
      </w:r>
    </w:p>
    <w:p w:rsidR="00000000" w:rsidDel="00000000" w:rsidP="00000000" w:rsidRDefault="00000000" w:rsidRPr="00000000" w14:paraId="00000449">
      <w:pPr>
        <w:spacing w:after="120" w:line="276"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van Gool, K. </w:t>
      </w:r>
      <w:r w:rsidDel="00000000" w:rsidR="00000000" w:rsidRPr="00000000">
        <w:rPr>
          <w:rFonts w:ascii="Times New Roman" w:cs="Times New Roman" w:eastAsia="Times New Roman" w:hAnsi="Times New Roman"/>
          <w:i w:val="1"/>
          <w:sz w:val="24"/>
          <w:szCs w:val="24"/>
          <w:rtl w:val="0"/>
        </w:rPr>
        <w:t xml:space="preserve">et al.</w:t>
      </w:r>
      <w:r w:rsidDel="00000000" w:rsidR="00000000" w:rsidRPr="00000000">
        <w:rPr>
          <w:rFonts w:ascii="Times New Roman" w:cs="Times New Roman" w:eastAsia="Times New Roman" w:hAnsi="Times New Roman"/>
          <w:sz w:val="24"/>
          <w:szCs w:val="24"/>
          <w:rtl w:val="0"/>
        </w:rPr>
        <w:t xml:space="preserve"> (2014) ‘Health, Austerity and Economic Crisis: Assessing the Short-term Impact in OECD countries’., </w:t>
      </w:r>
      <w:r w:rsidDel="00000000" w:rsidR="00000000" w:rsidRPr="00000000">
        <w:rPr>
          <w:rFonts w:ascii="Times New Roman" w:cs="Times New Roman" w:eastAsia="Times New Roman" w:hAnsi="Times New Roman"/>
          <w:i w:val="1"/>
          <w:sz w:val="24"/>
          <w:szCs w:val="24"/>
          <w:rtl w:val="0"/>
        </w:rPr>
        <w:t xml:space="preserve">OECD Health Working Papers</w:t>
      </w:r>
      <w:r w:rsidDel="00000000" w:rsidR="00000000" w:rsidRPr="00000000">
        <w:rPr>
          <w:rFonts w:ascii="Times New Roman" w:cs="Times New Roman" w:eastAsia="Times New Roman" w:hAnsi="Times New Roman"/>
          <w:sz w:val="24"/>
          <w:szCs w:val="24"/>
          <w:rtl w:val="0"/>
        </w:rPr>
        <w:t xml:space="preserve">, No. 76, OECD Publishing, Paris, https://dx.doi.org/10.1787/5jxx71lt1zg6-en.</w:t>
      </w:r>
    </w:p>
    <w:p w:rsidR="00000000" w:rsidDel="00000000" w:rsidP="00000000" w:rsidRDefault="00000000" w:rsidRPr="00000000" w14:paraId="0000044A">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Waghorn, G., Chant, D. and Jaeger, J. (2007) ‘Employment functioning and disability among community residents with bipolar  affective disorder: results from an Australian community survey.’, </w:t>
      </w:r>
      <w:r w:rsidDel="00000000" w:rsidR="00000000" w:rsidRPr="00000000">
        <w:rPr>
          <w:rFonts w:ascii="Times New Roman" w:cs="Times New Roman" w:eastAsia="Times New Roman" w:hAnsi="Times New Roman"/>
          <w:i w:val="1"/>
          <w:sz w:val="24"/>
          <w:szCs w:val="24"/>
          <w:rtl w:val="0"/>
        </w:rPr>
        <w:t xml:space="preserve">Bipolar disorders</w:t>
      </w:r>
      <w:r w:rsidDel="00000000" w:rsidR="00000000" w:rsidRPr="00000000">
        <w:rPr>
          <w:rFonts w:ascii="Times New Roman" w:cs="Times New Roman" w:eastAsia="Times New Roman" w:hAnsi="Times New Roman"/>
          <w:sz w:val="24"/>
          <w:szCs w:val="24"/>
          <w:rtl w:val="0"/>
        </w:rPr>
        <w:t xml:space="preserve">, 9(1–2), pp. 166–182. doi: 10.1111/j.1399-5618.2007.00417.x.</w:t>
      </w:r>
    </w:p>
    <w:p w:rsidR="00000000" w:rsidDel="00000000" w:rsidP="00000000" w:rsidRDefault="00000000" w:rsidRPr="00000000" w14:paraId="0000044B">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Wahlbeck, K. and McDaid, D. (2012) ‘Actions to alleviate the mental health impact of the economic crisis.’, </w:t>
      </w:r>
      <w:r w:rsidDel="00000000" w:rsidR="00000000" w:rsidRPr="00000000">
        <w:rPr>
          <w:rFonts w:ascii="Times New Roman" w:cs="Times New Roman" w:eastAsia="Times New Roman" w:hAnsi="Times New Roman"/>
          <w:i w:val="1"/>
          <w:sz w:val="24"/>
          <w:szCs w:val="24"/>
          <w:rtl w:val="0"/>
        </w:rPr>
        <w:t xml:space="preserve">World psychiatry : official journal of the World Psychiatric Association (WPA)</w:t>
      </w:r>
      <w:r w:rsidDel="00000000" w:rsidR="00000000" w:rsidRPr="00000000">
        <w:rPr>
          <w:rFonts w:ascii="Times New Roman" w:cs="Times New Roman" w:eastAsia="Times New Roman" w:hAnsi="Times New Roman"/>
          <w:sz w:val="24"/>
          <w:szCs w:val="24"/>
          <w:rtl w:val="0"/>
        </w:rPr>
        <w:t xml:space="preserve">, 11(3), pp. 139–145. doi: 10.1002/j.2051-5545.2012.tb00114.x.</w:t>
      </w:r>
    </w:p>
    <w:p w:rsidR="00000000" w:rsidDel="00000000" w:rsidP="00000000" w:rsidRDefault="00000000" w:rsidRPr="00000000" w14:paraId="0000044C">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Wainberg, M. L. </w:t>
      </w:r>
      <w:r w:rsidDel="00000000" w:rsidR="00000000" w:rsidRPr="00000000">
        <w:rPr>
          <w:rFonts w:ascii="Times New Roman" w:cs="Times New Roman" w:eastAsia="Times New Roman" w:hAnsi="Times New Roman"/>
          <w:i w:val="1"/>
          <w:sz w:val="24"/>
          <w:szCs w:val="24"/>
          <w:rtl w:val="0"/>
        </w:rPr>
        <w:t xml:space="preserve">et al.</w:t>
      </w:r>
      <w:r w:rsidDel="00000000" w:rsidR="00000000" w:rsidRPr="00000000">
        <w:rPr>
          <w:rFonts w:ascii="Times New Roman" w:cs="Times New Roman" w:eastAsia="Times New Roman" w:hAnsi="Times New Roman"/>
          <w:sz w:val="24"/>
          <w:szCs w:val="24"/>
          <w:rtl w:val="0"/>
        </w:rPr>
        <w:t xml:space="preserve"> (2017) ‘Challenges and Opportunities in Global Mental Health: a Research-to-Practice Perspective’, </w:t>
      </w:r>
      <w:r w:rsidDel="00000000" w:rsidR="00000000" w:rsidRPr="00000000">
        <w:rPr>
          <w:rFonts w:ascii="Times New Roman" w:cs="Times New Roman" w:eastAsia="Times New Roman" w:hAnsi="Times New Roman"/>
          <w:i w:val="1"/>
          <w:sz w:val="24"/>
          <w:szCs w:val="24"/>
          <w:rtl w:val="0"/>
        </w:rPr>
        <w:t xml:space="preserve">Current psychiatry reports</w:t>
      </w:r>
      <w:r w:rsidDel="00000000" w:rsidR="00000000" w:rsidRPr="00000000">
        <w:rPr>
          <w:rFonts w:ascii="Times New Roman" w:cs="Times New Roman" w:eastAsia="Times New Roman" w:hAnsi="Times New Roman"/>
          <w:sz w:val="24"/>
          <w:szCs w:val="24"/>
          <w:rtl w:val="0"/>
        </w:rPr>
        <w:t xml:space="preserve">, 19(5), p. 28. doi: 10.1007/s11920-017-0780-z.</w:t>
      </w:r>
    </w:p>
    <w:p w:rsidR="00000000" w:rsidDel="00000000" w:rsidP="00000000" w:rsidRDefault="00000000" w:rsidRPr="00000000" w14:paraId="0000044D">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Wang, P. S. </w:t>
      </w:r>
      <w:r w:rsidDel="00000000" w:rsidR="00000000" w:rsidRPr="00000000">
        <w:rPr>
          <w:rFonts w:ascii="Times New Roman" w:cs="Times New Roman" w:eastAsia="Times New Roman" w:hAnsi="Times New Roman"/>
          <w:i w:val="1"/>
          <w:sz w:val="24"/>
          <w:szCs w:val="24"/>
          <w:rtl w:val="0"/>
        </w:rPr>
        <w:t xml:space="preserve">et al.</w:t>
      </w:r>
      <w:r w:rsidDel="00000000" w:rsidR="00000000" w:rsidRPr="00000000">
        <w:rPr>
          <w:rFonts w:ascii="Times New Roman" w:cs="Times New Roman" w:eastAsia="Times New Roman" w:hAnsi="Times New Roman"/>
          <w:sz w:val="24"/>
          <w:szCs w:val="24"/>
          <w:rtl w:val="0"/>
        </w:rPr>
        <w:t xml:space="preserve"> (2007) ‘Use of mental health services for anxiety, mood, and substance disorders in 17  countries in the WHO world mental health surveys.’, </w:t>
      </w:r>
      <w:r w:rsidDel="00000000" w:rsidR="00000000" w:rsidRPr="00000000">
        <w:rPr>
          <w:rFonts w:ascii="Times New Roman" w:cs="Times New Roman" w:eastAsia="Times New Roman" w:hAnsi="Times New Roman"/>
          <w:i w:val="1"/>
          <w:sz w:val="24"/>
          <w:szCs w:val="24"/>
          <w:rtl w:val="0"/>
        </w:rPr>
        <w:t xml:space="preserve">Lancet (London, England)</w:t>
      </w:r>
      <w:r w:rsidDel="00000000" w:rsidR="00000000" w:rsidRPr="00000000">
        <w:rPr>
          <w:rFonts w:ascii="Times New Roman" w:cs="Times New Roman" w:eastAsia="Times New Roman" w:hAnsi="Times New Roman"/>
          <w:sz w:val="24"/>
          <w:szCs w:val="24"/>
          <w:rtl w:val="0"/>
        </w:rPr>
        <w:t xml:space="preserve">, 370(9590), pp. 841–850. doi: 10.1016/S0140-6736(07)61414-7.</w:t>
      </w:r>
    </w:p>
    <w:p w:rsidR="00000000" w:rsidDel="00000000" w:rsidP="00000000" w:rsidRDefault="00000000" w:rsidRPr="00000000" w14:paraId="0000044E">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Whiteford, H. A. </w:t>
      </w:r>
      <w:r w:rsidDel="00000000" w:rsidR="00000000" w:rsidRPr="00000000">
        <w:rPr>
          <w:rFonts w:ascii="Times New Roman" w:cs="Times New Roman" w:eastAsia="Times New Roman" w:hAnsi="Times New Roman"/>
          <w:i w:val="1"/>
          <w:sz w:val="24"/>
          <w:szCs w:val="24"/>
          <w:rtl w:val="0"/>
        </w:rPr>
        <w:t xml:space="preserve">et al.</w:t>
      </w:r>
      <w:r w:rsidDel="00000000" w:rsidR="00000000" w:rsidRPr="00000000">
        <w:rPr>
          <w:rFonts w:ascii="Times New Roman" w:cs="Times New Roman" w:eastAsia="Times New Roman" w:hAnsi="Times New Roman"/>
          <w:sz w:val="24"/>
          <w:szCs w:val="24"/>
          <w:rtl w:val="0"/>
        </w:rPr>
        <w:t xml:space="preserve"> (2013) ‘Global burden of disease attributable to mental and substance use disorders:  findings from the Global Burden of Disease Study 2010.’, </w:t>
      </w:r>
      <w:r w:rsidDel="00000000" w:rsidR="00000000" w:rsidRPr="00000000">
        <w:rPr>
          <w:rFonts w:ascii="Times New Roman" w:cs="Times New Roman" w:eastAsia="Times New Roman" w:hAnsi="Times New Roman"/>
          <w:i w:val="1"/>
          <w:sz w:val="24"/>
          <w:szCs w:val="24"/>
          <w:rtl w:val="0"/>
        </w:rPr>
        <w:t xml:space="preserve">Lancet (London, England)</w:t>
      </w:r>
      <w:r w:rsidDel="00000000" w:rsidR="00000000" w:rsidRPr="00000000">
        <w:rPr>
          <w:rFonts w:ascii="Times New Roman" w:cs="Times New Roman" w:eastAsia="Times New Roman" w:hAnsi="Times New Roman"/>
          <w:sz w:val="24"/>
          <w:szCs w:val="24"/>
          <w:rtl w:val="0"/>
        </w:rPr>
        <w:t xml:space="preserve">, 382(9904), pp. 1575–1586. doi: 10.1016/S0140-6736(13)61611-6.</w:t>
      </w:r>
    </w:p>
    <w:p w:rsidR="00000000" w:rsidDel="00000000" w:rsidP="00000000" w:rsidRDefault="00000000" w:rsidRPr="00000000" w14:paraId="0000044F">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Whiteford, H. A. </w:t>
      </w:r>
      <w:r w:rsidDel="00000000" w:rsidR="00000000" w:rsidRPr="00000000">
        <w:rPr>
          <w:rFonts w:ascii="Times New Roman" w:cs="Times New Roman" w:eastAsia="Times New Roman" w:hAnsi="Times New Roman"/>
          <w:i w:val="1"/>
          <w:sz w:val="24"/>
          <w:szCs w:val="24"/>
          <w:rtl w:val="0"/>
        </w:rPr>
        <w:t xml:space="preserve">et al.</w:t>
      </w:r>
      <w:r w:rsidDel="00000000" w:rsidR="00000000" w:rsidRPr="00000000">
        <w:rPr>
          <w:rFonts w:ascii="Times New Roman" w:cs="Times New Roman" w:eastAsia="Times New Roman" w:hAnsi="Times New Roman"/>
          <w:sz w:val="24"/>
          <w:szCs w:val="24"/>
          <w:rtl w:val="0"/>
        </w:rPr>
        <w:t xml:space="preserve"> (2015) ‘The global burden of mental, neurological and substance use disorders: an analysis  from the Global Burden of Disease Study 2010.’, </w:t>
      </w:r>
      <w:r w:rsidDel="00000000" w:rsidR="00000000" w:rsidRPr="00000000">
        <w:rPr>
          <w:rFonts w:ascii="Times New Roman" w:cs="Times New Roman" w:eastAsia="Times New Roman" w:hAnsi="Times New Roman"/>
          <w:i w:val="1"/>
          <w:sz w:val="24"/>
          <w:szCs w:val="24"/>
          <w:rtl w:val="0"/>
        </w:rPr>
        <w:t xml:space="preserve">PloS one</w:t>
      </w:r>
      <w:r w:rsidDel="00000000" w:rsidR="00000000" w:rsidRPr="00000000">
        <w:rPr>
          <w:rFonts w:ascii="Times New Roman" w:cs="Times New Roman" w:eastAsia="Times New Roman" w:hAnsi="Times New Roman"/>
          <w:sz w:val="24"/>
          <w:szCs w:val="24"/>
          <w:rtl w:val="0"/>
        </w:rPr>
        <w:t xml:space="preserve">, 10(2), p. e0116820. doi: 10.1371/journal.pone.0116820.</w:t>
      </w:r>
    </w:p>
    <w:p w:rsidR="00000000" w:rsidDel="00000000" w:rsidP="00000000" w:rsidRDefault="00000000" w:rsidRPr="00000000" w14:paraId="00000450">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Whooley, M. A. </w:t>
      </w:r>
      <w:r w:rsidDel="00000000" w:rsidR="00000000" w:rsidRPr="00000000">
        <w:rPr>
          <w:rFonts w:ascii="Times New Roman" w:cs="Times New Roman" w:eastAsia="Times New Roman" w:hAnsi="Times New Roman"/>
          <w:i w:val="1"/>
          <w:sz w:val="24"/>
          <w:szCs w:val="24"/>
          <w:rtl w:val="0"/>
        </w:rPr>
        <w:t xml:space="preserve">et al.</w:t>
      </w:r>
      <w:r w:rsidDel="00000000" w:rsidR="00000000" w:rsidRPr="00000000">
        <w:rPr>
          <w:rFonts w:ascii="Times New Roman" w:cs="Times New Roman" w:eastAsia="Times New Roman" w:hAnsi="Times New Roman"/>
          <w:sz w:val="24"/>
          <w:szCs w:val="24"/>
          <w:rtl w:val="0"/>
        </w:rPr>
        <w:t xml:space="preserve"> (2002) ‘Depressive symptoms, unemployment, and loss of income: The CARDIA Study.’, </w:t>
      </w:r>
      <w:r w:rsidDel="00000000" w:rsidR="00000000" w:rsidRPr="00000000">
        <w:rPr>
          <w:rFonts w:ascii="Times New Roman" w:cs="Times New Roman" w:eastAsia="Times New Roman" w:hAnsi="Times New Roman"/>
          <w:i w:val="1"/>
          <w:sz w:val="24"/>
          <w:szCs w:val="24"/>
          <w:rtl w:val="0"/>
        </w:rPr>
        <w:t xml:space="preserve">Archives of internal medicine</w:t>
      </w:r>
      <w:r w:rsidDel="00000000" w:rsidR="00000000" w:rsidRPr="00000000">
        <w:rPr>
          <w:rFonts w:ascii="Times New Roman" w:cs="Times New Roman" w:eastAsia="Times New Roman" w:hAnsi="Times New Roman"/>
          <w:sz w:val="24"/>
          <w:szCs w:val="24"/>
          <w:rtl w:val="0"/>
        </w:rPr>
        <w:t xml:space="preserve">, 162(22), pp. 2614–2620. doi: 10.1001/archinte.162.22.2614.</w:t>
      </w:r>
    </w:p>
    <w:p w:rsidR="00000000" w:rsidDel="00000000" w:rsidP="00000000" w:rsidRDefault="00000000" w:rsidRPr="00000000" w14:paraId="00000451">
      <w:pPr>
        <w:spacing w:after="120" w:line="276" w:lineRule="auto"/>
        <w:ind w:hanging="720"/>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sz w:val="24"/>
          <w:szCs w:val="24"/>
          <w:rtl w:val="0"/>
        </w:rPr>
        <w:t xml:space="preserve">WHO (2003) ‘</w:t>
      </w:r>
      <w:r w:rsidDel="00000000" w:rsidR="00000000" w:rsidRPr="00000000">
        <w:rPr>
          <w:rFonts w:ascii="Times New Roman" w:cs="Times New Roman" w:eastAsia="Times New Roman" w:hAnsi="Times New Roman"/>
          <w:i w:val="1"/>
          <w:sz w:val="24"/>
          <w:szCs w:val="24"/>
          <w:rtl w:val="0"/>
        </w:rPr>
        <w:t xml:space="preserve">Mental Health Legislation &amp; Human Rights’.</w:t>
      </w:r>
    </w:p>
    <w:p w:rsidR="00000000" w:rsidDel="00000000" w:rsidP="00000000" w:rsidRDefault="00000000" w:rsidRPr="00000000" w14:paraId="00000452">
      <w:pPr>
        <w:spacing w:after="120" w:line="276"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WHO (2018) ‘Mental Health ATLAS 2017’., </w:t>
      </w:r>
      <w:r w:rsidDel="00000000" w:rsidR="00000000" w:rsidRPr="00000000">
        <w:rPr>
          <w:rFonts w:ascii="Times New Roman" w:cs="Times New Roman" w:eastAsia="Times New Roman" w:hAnsi="Times New Roman"/>
          <w:i w:val="1"/>
          <w:sz w:val="24"/>
          <w:szCs w:val="24"/>
          <w:rtl w:val="0"/>
        </w:rPr>
        <w:t xml:space="preserve">WHO,</w:t>
      </w:r>
      <w:r w:rsidDel="00000000" w:rsidR="00000000" w:rsidRPr="00000000">
        <w:rPr>
          <w:rFonts w:ascii="Times New Roman" w:cs="Times New Roman" w:eastAsia="Times New Roman" w:hAnsi="Times New Roman"/>
          <w:sz w:val="24"/>
          <w:szCs w:val="24"/>
          <w:rtl w:val="0"/>
        </w:rPr>
        <w:t xml:space="preserve"> http://www.who.int/mental_health/evidence/atlas/mental_health_atlas_2017/en/. </w:t>
      </w:r>
    </w:p>
    <w:p w:rsidR="00000000" w:rsidDel="00000000" w:rsidP="00000000" w:rsidRDefault="00000000" w:rsidRPr="00000000" w14:paraId="00000453">
      <w:pPr>
        <w:spacing w:after="120" w:line="276"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WHO Europe (2019) ‘Multisectoral action for Mental Health’., </w:t>
      </w:r>
      <w:r w:rsidDel="00000000" w:rsidR="00000000" w:rsidRPr="00000000">
        <w:rPr>
          <w:rFonts w:ascii="Times New Roman" w:cs="Times New Roman" w:eastAsia="Times New Roman" w:hAnsi="Times New Roman"/>
          <w:i w:val="1"/>
          <w:sz w:val="24"/>
          <w:szCs w:val="24"/>
          <w:rtl w:val="0"/>
        </w:rPr>
        <w:t xml:space="preserve">WHO Europe</w:t>
      </w:r>
      <w:r w:rsidDel="00000000" w:rsidR="00000000" w:rsidRPr="00000000">
        <w:rPr>
          <w:rFonts w:ascii="Times New Roman" w:cs="Times New Roman" w:eastAsia="Times New Roman" w:hAnsi="Times New Roman"/>
          <w:sz w:val="24"/>
          <w:szCs w:val="24"/>
          <w:rtl w:val="0"/>
        </w:rPr>
        <w:t xml:space="preserve">, Copenhagen.</w:t>
      </w:r>
    </w:p>
    <w:p w:rsidR="00000000" w:rsidDel="00000000" w:rsidP="00000000" w:rsidRDefault="00000000" w:rsidRPr="00000000" w14:paraId="00000454">
      <w:pPr>
        <w:spacing w:after="120" w:line="276"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WHO (2015) ‘Mental health action plan 2013 – 2020’., http://www.who.int/mental_health/publications/action_plan/en/. Published September 17, 2015. (Πρόσβαση στις 5 Ιανουαρίου 2022).</w:t>
      </w:r>
    </w:p>
    <w:p w:rsidR="00000000" w:rsidDel="00000000" w:rsidP="00000000" w:rsidRDefault="00000000" w:rsidRPr="00000000" w14:paraId="00000455">
      <w:pPr>
        <w:spacing w:after="120" w:line="276"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WHO (2016) ‘The top 10 causes of death. WHO – fact sheets on global burden of disease’., </w:t>
      </w:r>
      <w:r w:rsidDel="00000000" w:rsidR="00000000" w:rsidRPr="00000000">
        <w:rPr>
          <w:rFonts w:ascii="Times New Roman" w:cs="Times New Roman" w:eastAsia="Times New Roman" w:hAnsi="Times New Roman"/>
          <w:i w:val="1"/>
          <w:sz w:val="24"/>
          <w:szCs w:val="24"/>
          <w:rtl w:val="0"/>
        </w:rPr>
        <w:t xml:space="preserve">World Health Organization</w:t>
      </w:r>
      <w:r w:rsidDel="00000000" w:rsidR="00000000" w:rsidRPr="00000000">
        <w:rPr>
          <w:rFonts w:ascii="Times New Roman" w:cs="Times New Roman" w:eastAsia="Times New Roman" w:hAnsi="Times New Roman"/>
          <w:sz w:val="24"/>
          <w:szCs w:val="24"/>
          <w:rtl w:val="0"/>
        </w:rPr>
        <w:t xml:space="preserve">; 2016.</w:t>
      </w:r>
    </w:p>
    <w:p w:rsidR="00000000" w:rsidDel="00000000" w:rsidP="00000000" w:rsidRDefault="00000000" w:rsidRPr="00000000" w14:paraId="00000456">
      <w:pPr>
        <w:widowControl w:val="0"/>
        <w:spacing w:after="160" w:line="240" w:lineRule="auto"/>
        <w:ind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Zhang, S. </w:t>
      </w:r>
      <w:r w:rsidDel="00000000" w:rsidR="00000000" w:rsidRPr="00000000">
        <w:rPr>
          <w:rFonts w:ascii="Times New Roman" w:cs="Times New Roman" w:eastAsia="Times New Roman" w:hAnsi="Times New Roman"/>
          <w:i w:val="1"/>
          <w:sz w:val="24"/>
          <w:szCs w:val="24"/>
          <w:rtl w:val="0"/>
        </w:rPr>
        <w:t xml:space="preserve">et al.</w:t>
      </w:r>
      <w:r w:rsidDel="00000000" w:rsidR="00000000" w:rsidRPr="00000000">
        <w:rPr>
          <w:rFonts w:ascii="Times New Roman" w:cs="Times New Roman" w:eastAsia="Times New Roman" w:hAnsi="Times New Roman"/>
          <w:sz w:val="24"/>
          <w:szCs w:val="24"/>
          <w:rtl w:val="0"/>
        </w:rPr>
        <w:t xml:space="preserve"> (2015) ‘Involuntary admission and treatment of patients with mental disorder’, </w:t>
      </w:r>
      <w:r w:rsidDel="00000000" w:rsidR="00000000" w:rsidRPr="00000000">
        <w:rPr>
          <w:rFonts w:ascii="Times New Roman" w:cs="Times New Roman" w:eastAsia="Times New Roman" w:hAnsi="Times New Roman"/>
          <w:i w:val="1"/>
          <w:sz w:val="24"/>
          <w:szCs w:val="24"/>
          <w:rtl w:val="0"/>
        </w:rPr>
        <w:t xml:space="preserve">Neuroscience bulletin</w:t>
      </w:r>
      <w:r w:rsidDel="00000000" w:rsidR="00000000" w:rsidRPr="00000000">
        <w:rPr>
          <w:rFonts w:ascii="Times New Roman" w:cs="Times New Roman" w:eastAsia="Times New Roman" w:hAnsi="Times New Roman"/>
          <w:sz w:val="24"/>
          <w:szCs w:val="24"/>
          <w:rtl w:val="0"/>
        </w:rPr>
        <w:t xml:space="preserve">. 2015/01/16, 31(1), pp. 99–112. doi: 10.1007/s12264-014-1493-5.</w:t>
      </w:r>
    </w:p>
    <w:p w:rsidR="00000000" w:rsidDel="00000000" w:rsidP="00000000" w:rsidRDefault="00000000" w:rsidRPr="00000000" w14:paraId="00000457">
      <w:pPr>
        <w:ind w:hanging="720"/>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458">
      <w:pPr>
        <w:ind w:left="76" w:right="-149" w:firstLine="0"/>
        <w:rPr/>
      </w:pPr>
      <w:r w:rsidDel="00000000" w:rsidR="00000000" w:rsidRPr="00000000">
        <w:rPr>
          <w:rtl w:val="0"/>
        </w:rPr>
      </w:r>
    </w:p>
    <w:sectPr>
      <w:footerReference r:id="rId32" w:type="default"/>
      <w:footerReference r:id="rId33" w:type="first"/>
      <w:type w:val="nextPage"/>
      <w:pgSz w:h="16838" w:w="11906" w:orient="portrait"/>
      <w:pgMar w:bottom="2268" w:top="2268" w:left="2268" w:right="2268" w:header="709" w:footer="709"/>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Cambria"/>
  <w:font w:name="Georgia"/>
  <w:font w:name="Times New Roman"/>
  <w:font w:name="Courier New"/>
  <w:font w:name="Noto Sans Symbol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5E">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153"/>
        <w:tab w:val="right" w:pos="8306"/>
      </w:tabs>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45F">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153"/>
        <w:tab w:val="right" w:pos="8306"/>
      </w:tabs>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60">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153"/>
        <w:tab w:val="right" w:pos="8306"/>
      </w:tabs>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461">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153"/>
        <w:tab w:val="right" w:pos="8306"/>
      </w:tabs>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tr>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otnote w:id="0">
    <w:p w:rsidR="00000000" w:rsidDel="00000000" w:rsidP="00000000" w:rsidRDefault="00000000" w:rsidRPr="00000000" w14:paraId="0000045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Διαθέσιμο στο: </w:t>
      </w:r>
      <w:hyperlink r:id="rId1">
        <w:r w:rsidDel="00000000" w:rsidR="00000000" w:rsidRPr="00000000">
          <w:rPr>
            <w:rFonts w:ascii="Calibri" w:cs="Calibri" w:eastAsia="Calibri" w:hAnsi="Calibri"/>
            <w:b w:val="0"/>
            <w:i w:val="0"/>
            <w:smallCaps w:val="0"/>
            <w:strike w:val="0"/>
            <w:color w:val="0000ff"/>
            <w:sz w:val="20"/>
            <w:szCs w:val="20"/>
            <w:u w:val="single"/>
            <w:shd w:fill="auto" w:val="clear"/>
            <w:vertAlign w:val="baseline"/>
            <w:rtl w:val="0"/>
          </w:rPr>
          <w:t xml:space="preserve">http://apps.who.int/iris/bitstream/10665/8723 2/1/9789241564618_eng.pdf</w:t>
        </w:r>
      </w:hyperlink>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w:t>
      </w:r>
    </w:p>
  </w:footnote>
  <w:footnote w:id="1">
    <w:p w:rsidR="00000000" w:rsidDel="00000000" w:rsidP="00000000" w:rsidRDefault="00000000" w:rsidRPr="00000000" w14:paraId="0000045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Διαθέσιμο στο: </w:t>
      </w:r>
      <w:hyperlink r:id="rId2">
        <w:r w:rsidDel="00000000" w:rsidR="00000000" w:rsidRPr="00000000">
          <w:rPr>
            <w:rFonts w:ascii="Calibri" w:cs="Calibri" w:eastAsia="Calibri" w:hAnsi="Calibri"/>
            <w:b w:val="0"/>
            <w:i w:val="0"/>
            <w:smallCaps w:val="0"/>
            <w:strike w:val="0"/>
            <w:color w:val="0000ff"/>
            <w:sz w:val="20"/>
            <w:szCs w:val="20"/>
            <w:u w:val="single"/>
            <w:shd w:fill="auto" w:val="clear"/>
            <w:vertAlign w:val="baseline"/>
            <w:rtl w:val="0"/>
          </w:rPr>
          <w:t xml:space="preserve">http://apps.who.int/iris/bitstream/10665/8723 2/1/9789241564618_eng.pdf</w:t>
        </w:r>
      </w:hyperlink>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w:t>
      </w:r>
    </w:p>
  </w:footnote>
  <w:footnote w:id="2">
    <w:p w:rsidR="00000000" w:rsidDel="00000000" w:rsidP="00000000" w:rsidRDefault="00000000" w:rsidRPr="00000000" w14:paraId="0000045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Βλ. </w:t>
      </w:r>
      <w:hyperlink r:id="rId3">
        <w:r w:rsidDel="00000000" w:rsidR="00000000" w:rsidRPr="00000000">
          <w:rPr>
            <w:rFonts w:ascii="Calibri" w:cs="Calibri" w:eastAsia="Calibri" w:hAnsi="Calibri"/>
            <w:b w:val="0"/>
            <w:i w:val="0"/>
            <w:smallCaps w:val="0"/>
            <w:strike w:val="0"/>
            <w:color w:val="0000ff"/>
            <w:sz w:val="20"/>
            <w:szCs w:val="20"/>
            <w:u w:val="single"/>
            <w:shd w:fill="auto" w:val="clear"/>
            <w:vertAlign w:val="baseline"/>
            <w:rtl w:val="0"/>
          </w:rPr>
          <w:t xml:space="preserve">https://www.apa.org/monitor/2021/04/ce-mental-illness</w:t>
        </w:r>
      </w:hyperlink>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w:t>
      </w:r>
    </w:p>
  </w:footnote>
  <w:footnote w:id="3">
    <w:p w:rsidR="00000000" w:rsidDel="00000000" w:rsidP="00000000" w:rsidRDefault="00000000" w:rsidRPr="00000000" w14:paraId="0000045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Διαθέσιμο στο: </w:t>
      </w:r>
      <w:hyperlink r:id="rId4">
        <w:r w:rsidDel="00000000" w:rsidR="00000000" w:rsidRPr="00000000">
          <w:rPr>
            <w:rFonts w:ascii="Calibri" w:cs="Calibri" w:eastAsia="Calibri" w:hAnsi="Calibri"/>
            <w:b w:val="0"/>
            <w:i w:val="0"/>
            <w:smallCaps w:val="0"/>
            <w:strike w:val="0"/>
            <w:color w:val="0000ff"/>
            <w:sz w:val="20"/>
            <w:szCs w:val="20"/>
            <w:u w:val="single"/>
            <w:shd w:fill="auto" w:val="clear"/>
            <w:vertAlign w:val="baseline"/>
            <w:rtl w:val="0"/>
          </w:rPr>
          <w:t xml:space="preserve">https://www.moh.gov.gr/articles/health/domes-kai-draseis-gia-thn-ygeia/c312-psyxikh-ygeia/monades-psyxikhs-ygeias/5520-ekthesh-sxediasmos-anaptykshs-monadwn-psyxargws</w:t>
        </w:r>
      </w:hyperlink>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w:t>
      </w:r>
    </w:p>
  </w:footnote>
  <w:footnote w:id="4">
    <w:p w:rsidR="00000000" w:rsidDel="00000000" w:rsidP="00000000" w:rsidRDefault="00000000" w:rsidRPr="00000000" w14:paraId="0000045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Διαθέσιμο στο: </w:t>
      </w:r>
      <w:hyperlink r:id="rId5">
        <w:r w:rsidDel="00000000" w:rsidR="00000000" w:rsidRPr="00000000">
          <w:rPr>
            <w:rFonts w:ascii="Calibri" w:cs="Calibri" w:eastAsia="Calibri" w:hAnsi="Calibri"/>
            <w:b w:val="0"/>
            <w:i w:val="0"/>
            <w:smallCaps w:val="0"/>
            <w:strike w:val="0"/>
            <w:color w:val="0000ff"/>
            <w:sz w:val="20"/>
            <w:szCs w:val="20"/>
            <w:u w:val="single"/>
            <w:shd w:fill="auto" w:val="clear"/>
            <w:vertAlign w:val="baseline"/>
            <w:rtl w:val="0"/>
          </w:rPr>
          <w:t xml:space="preserve">https://www.moh.gov.gr/articles/health/domes-kai-draseis-gia-thn-ygeia/ethnika-sxedia-drashs/8776-ethniko-sxedio-drashs-gia-th-dhmosia-ygeia-2021-2025</w:t>
        </w:r>
      </w:hyperlink>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w:t>
      </w:r>
    </w:p>
  </w:footnote>
</w:footnote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
    <w:lvl w:ilvl="0">
      <w:start w:val="1"/>
      <w:numFmt w:val="bullet"/>
      <w:lvlText w:val="●"/>
      <w:lvlJc w:val="left"/>
      <w:pPr>
        <w:ind w:left="1080" w:hanging="360"/>
      </w:pPr>
      <w:rPr>
        <w:rFonts w:ascii="Noto Sans Symbols" w:cs="Noto Sans Symbols" w:eastAsia="Noto Sans Symbols" w:hAnsi="Noto Sans Symbols"/>
      </w:rPr>
    </w:lvl>
    <w:lvl w:ilvl="1">
      <w:start w:val="1"/>
      <w:numFmt w:val="bullet"/>
      <w:lvlText w:val="o"/>
      <w:lvlJc w:val="left"/>
      <w:pPr>
        <w:ind w:left="1800" w:hanging="360"/>
      </w:pPr>
      <w:rPr>
        <w:rFonts w:ascii="Courier New" w:cs="Courier New" w:eastAsia="Courier New" w:hAnsi="Courier New"/>
      </w:rPr>
    </w:lvl>
    <w:lvl w:ilvl="2">
      <w:start w:val="1"/>
      <w:numFmt w:val="bullet"/>
      <w:lvlText w:val="▪"/>
      <w:lvlJc w:val="left"/>
      <w:pPr>
        <w:ind w:left="2520" w:hanging="360"/>
      </w:pPr>
      <w:rPr>
        <w:rFonts w:ascii="Noto Sans Symbols" w:cs="Noto Sans Symbols" w:eastAsia="Noto Sans Symbols" w:hAnsi="Noto Sans Symbols"/>
      </w:rPr>
    </w:lvl>
    <w:lvl w:ilvl="3">
      <w:start w:val="1"/>
      <w:numFmt w:val="bullet"/>
      <w:lvlText w:val="●"/>
      <w:lvlJc w:val="left"/>
      <w:pPr>
        <w:ind w:left="3240" w:hanging="360"/>
      </w:pPr>
      <w:rPr>
        <w:rFonts w:ascii="Noto Sans Symbols" w:cs="Noto Sans Symbols" w:eastAsia="Noto Sans Symbols" w:hAnsi="Noto Sans Symbols"/>
      </w:rPr>
    </w:lvl>
    <w:lvl w:ilvl="4">
      <w:start w:val="1"/>
      <w:numFmt w:val="bullet"/>
      <w:lvlText w:val="o"/>
      <w:lvlJc w:val="left"/>
      <w:pPr>
        <w:ind w:left="3960" w:hanging="360"/>
      </w:pPr>
      <w:rPr>
        <w:rFonts w:ascii="Courier New" w:cs="Courier New" w:eastAsia="Courier New" w:hAnsi="Courier New"/>
      </w:rPr>
    </w:lvl>
    <w:lvl w:ilvl="5">
      <w:start w:val="1"/>
      <w:numFmt w:val="bullet"/>
      <w:lvlText w:val="▪"/>
      <w:lvlJc w:val="left"/>
      <w:pPr>
        <w:ind w:left="4680" w:hanging="360"/>
      </w:pPr>
      <w:rPr>
        <w:rFonts w:ascii="Noto Sans Symbols" w:cs="Noto Sans Symbols" w:eastAsia="Noto Sans Symbols" w:hAnsi="Noto Sans Symbols"/>
      </w:rPr>
    </w:lvl>
    <w:lvl w:ilvl="6">
      <w:start w:val="1"/>
      <w:numFmt w:val="bullet"/>
      <w:lvlText w:val="●"/>
      <w:lvlJc w:val="left"/>
      <w:pPr>
        <w:ind w:left="5400" w:hanging="360"/>
      </w:pPr>
      <w:rPr>
        <w:rFonts w:ascii="Noto Sans Symbols" w:cs="Noto Sans Symbols" w:eastAsia="Noto Sans Symbols" w:hAnsi="Noto Sans Symbols"/>
      </w:rPr>
    </w:lvl>
    <w:lvl w:ilvl="7">
      <w:start w:val="1"/>
      <w:numFmt w:val="bullet"/>
      <w:lvlText w:val="o"/>
      <w:lvlJc w:val="left"/>
      <w:pPr>
        <w:ind w:left="6120" w:hanging="360"/>
      </w:pPr>
      <w:rPr>
        <w:rFonts w:ascii="Courier New" w:cs="Courier New" w:eastAsia="Courier New" w:hAnsi="Courier New"/>
      </w:rPr>
    </w:lvl>
    <w:lvl w:ilvl="8">
      <w:start w:val="1"/>
      <w:numFmt w:val="bullet"/>
      <w:lvlText w:val="▪"/>
      <w:lvlJc w:val="left"/>
      <w:pPr>
        <w:ind w:left="6840" w:hanging="360"/>
      </w:pPr>
      <w:rPr>
        <w:rFonts w:ascii="Noto Sans Symbols" w:cs="Noto Sans Symbols" w:eastAsia="Noto Sans Symbols" w:hAnsi="Noto Sans Symbols"/>
      </w:rPr>
    </w:lvl>
  </w:abstractNum>
  <w:abstractNum w:abstractNumId="3">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4">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5">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6">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7">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8">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l-GR"/>
      </w:rPr>
    </w:rPrDefault>
    <w:pPrDefault>
      <w:pPr>
        <w:spacing w:line="360" w:lineRule="auto"/>
        <w:jc w:val="both"/>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before="480" w:lineRule="auto"/>
    </w:pPr>
    <w:rPr>
      <w:rFonts w:ascii="Cambria" w:cs="Cambria" w:eastAsia="Cambria" w:hAnsi="Cambria"/>
      <w:b w:val="1"/>
      <w:color w:val="366091"/>
      <w:sz w:val="28"/>
      <w:szCs w:val="28"/>
    </w:rPr>
  </w:style>
  <w:style w:type="paragraph" w:styleId="Heading2">
    <w:name w:val="heading 2"/>
    <w:basedOn w:val="Normal"/>
    <w:next w:val="Normal"/>
    <w:pPr>
      <w:keepNext w:val="1"/>
      <w:keepLines w:val="1"/>
      <w:spacing w:before="40" w:lineRule="auto"/>
      <w:ind w:firstLine="720"/>
    </w:pPr>
    <w:rPr>
      <w:rFonts w:ascii="Cambria" w:cs="Cambria" w:eastAsia="Cambria" w:hAnsi="Cambria"/>
      <w:color w:val="366091"/>
      <w:sz w:val="26"/>
      <w:szCs w:val="26"/>
    </w:rPr>
  </w:style>
  <w:style w:type="paragraph" w:styleId="Heading3">
    <w:name w:val="heading 3"/>
    <w:basedOn w:val="Normal"/>
    <w:next w:val="Normal"/>
    <w:pPr>
      <w:keepNext w:val="1"/>
      <w:keepLines w:val="1"/>
      <w:spacing w:before="200" w:lineRule="auto"/>
    </w:pPr>
    <w:rPr>
      <w:rFonts w:ascii="Cambria" w:cs="Cambria" w:eastAsia="Cambria" w:hAnsi="Cambria"/>
      <w:b w:val="1"/>
      <w:color w:val="4f81bd"/>
    </w:rPr>
  </w:style>
  <w:style w:type="paragraph" w:styleId="Heading4">
    <w:name w:val="heading 4"/>
    <w:basedOn w:val="Normal"/>
    <w:next w:val="Normal"/>
    <w:pPr>
      <w:keepNext w:val="1"/>
      <w:keepLines w:val="1"/>
      <w:spacing w:before="200" w:lineRule="auto"/>
    </w:pPr>
    <w:rPr>
      <w:rFonts w:ascii="Cambria" w:cs="Cambria" w:eastAsia="Cambria" w:hAnsi="Cambria"/>
      <w:b w:val="1"/>
      <w:i w:val="1"/>
      <w:color w:val="4f81bd"/>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a" w:default="1">
    <w:name w:val="Normal"/>
    <w:qFormat w:val="1"/>
    <w:rsid w:val="00A3242D"/>
  </w:style>
  <w:style w:type="paragraph" w:styleId="10">
    <w:name w:val="heading 1"/>
    <w:basedOn w:val="a"/>
    <w:next w:val="a"/>
    <w:link w:val="1Char"/>
    <w:uiPriority w:val="9"/>
    <w:qFormat w:val="1"/>
    <w:rsid w:val="00974E68"/>
    <w:pPr>
      <w:keepNext w:val="1"/>
      <w:keepLines w:val="1"/>
      <w:spacing w:before="480"/>
      <w:outlineLvl w:val="0"/>
    </w:pPr>
    <w:rPr>
      <w:rFonts w:asciiTheme="majorHAnsi" w:cstheme="majorBidi" w:eastAsiaTheme="majorEastAsia" w:hAnsiTheme="majorHAnsi"/>
      <w:b w:val="1"/>
      <w:bCs w:val="1"/>
      <w:color w:val="365f91" w:themeColor="accent1" w:themeShade="0000BF"/>
      <w:sz w:val="28"/>
      <w:szCs w:val="28"/>
    </w:rPr>
  </w:style>
  <w:style w:type="paragraph" w:styleId="2">
    <w:name w:val="heading 2"/>
    <w:basedOn w:val="a"/>
    <w:next w:val="a"/>
    <w:link w:val="2Char"/>
    <w:uiPriority w:val="9"/>
    <w:unhideWhenUsed w:val="1"/>
    <w:qFormat w:val="1"/>
    <w:rsid w:val="00E8107B"/>
    <w:pPr>
      <w:keepNext w:val="1"/>
      <w:keepLines w:val="1"/>
      <w:spacing w:before="40"/>
      <w:ind w:firstLine="720"/>
      <w:outlineLvl w:val="1"/>
    </w:pPr>
    <w:rPr>
      <w:rFonts w:asciiTheme="majorHAnsi" w:cstheme="majorBidi" w:eastAsiaTheme="majorEastAsia" w:hAnsiTheme="majorHAnsi"/>
      <w:color w:val="365f91" w:themeColor="accent1" w:themeShade="0000BF"/>
      <w:sz w:val="26"/>
      <w:szCs w:val="26"/>
      <w:lang w:eastAsia="en-US"/>
    </w:rPr>
  </w:style>
  <w:style w:type="paragraph" w:styleId="3">
    <w:name w:val="heading 3"/>
    <w:basedOn w:val="a"/>
    <w:next w:val="a"/>
    <w:link w:val="3Char"/>
    <w:uiPriority w:val="9"/>
    <w:unhideWhenUsed w:val="1"/>
    <w:qFormat w:val="1"/>
    <w:rsid w:val="00CB5183"/>
    <w:pPr>
      <w:keepNext w:val="1"/>
      <w:keepLines w:val="1"/>
      <w:spacing w:before="200"/>
      <w:outlineLvl w:val="2"/>
    </w:pPr>
    <w:rPr>
      <w:rFonts w:asciiTheme="majorHAnsi" w:cstheme="majorBidi" w:eastAsiaTheme="majorEastAsia" w:hAnsiTheme="majorHAnsi"/>
      <w:b w:val="1"/>
      <w:bCs w:val="1"/>
      <w:color w:val="4f81bd" w:themeColor="accent1"/>
    </w:rPr>
  </w:style>
  <w:style w:type="paragraph" w:styleId="4">
    <w:name w:val="heading 4"/>
    <w:basedOn w:val="a"/>
    <w:next w:val="a"/>
    <w:link w:val="4Char"/>
    <w:uiPriority w:val="9"/>
    <w:unhideWhenUsed w:val="1"/>
    <w:qFormat w:val="1"/>
    <w:rsid w:val="000D31B3"/>
    <w:pPr>
      <w:keepNext w:val="1"/>
      <w:keepLines w:val="1"/>
      <w:spacing w:before="200"/>
      <w:outlineLvl w:val="3"/>
    </w:pPr>
    <w:rPr>
      <w:rFonts w:asciiTheme="majorHAnsi" w:cstheme="majorBidi" w:eastAsiaTheme="majorEastAsia" w:hAnsiTheme="majorHAnsi"/>
      <w:b w:val="1"/>
      <w:bCs w:val="1"/>
      <w:i w:val="1"/>
      <w:iCs w:val="1"/>
      <w:color w:val="4f81bd" w:themeColor="accent1"/>
    </w:rPr>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paragraph" w:styleId="a3">
    <w:name w:val="List Paragraph"/>
    <w:basedOn w:val="a"/>
    <w:uiPriority w:val="34"/>
    <w:qFormat w:val="1"/>
    <w:rsid w:val="00B767FB"/>
    <w:pPr>
      <w:ind w:left="720"/>
      <w:contextualSpacing w:val="1"/>
    </w:pPr>
  </w:style>
  <w:style w:type="character" w:styleId="-">
    <w:name w:val="Hyperlink"/>
    <w:basedOn w:val="a0"/>
    <w:uiPriority w:val="99"/>
    <w:unhideWhenUsed w:val="1"/>
    <w:rsid w:val="00844465"/>
    <w:rPr>
      <w:color w:val="0000ff"/>
      <w:u w:val="single"/>
    </w:rPr>
  </w:style>
  <w:style w:type="character" w:styleId="2Char" w:customStyle="1">
    <w:name w:val="Επικεφαλίδα 2 Char"/>
    <w:basedOn w:val="a0"/>
    <w:link w:val="2"/>
    <w:uiPriority w:val="9"/>
    <w:rsid w:val="00E8107B"/>
    <w:rPr>
      <w:rFonts w:asciiTheme="majorHAnsi" w:cstheme="majorBidi" w:eastAsiaTheme="majorEastAsia" w:hAnsiTheme="majorHAnsi"/>
      <w:color w:val="365f91" w:themeColor="accent1" w:themeShade="0000BF"/>
      <w:sz w:val="26"/>
      <w:szCs w:val="26"/>
      <w:lang w:eastAsia="en-US"/>
    </w:rPr>
  </w:style>
  <w:style w:type="paragraph" w:styleId="a4">
    <w:name w:val="Balloon Text"/>
    <w:basedOn w:val="a"/>
    <w:link w:val="Char"/>
    <w:uiPriority w:val="99"/>
    <w:semiHidden w:val="1"/>
    <w:unhideWhenUsed w:val="1"/>
    <w:rsid w:val="00E8107B"/>
    <w:pPr>
      <w:spacing w:line="240" w:lineRule="auto"/>
    </w:pPr>
    <w:rPr>
      <w:rFonts w:ascii="Tahoma" w:cs="Tahoma" w:hAnsi="Tahoma"/>
      <w:sz w:val="16"/>
      <w:szCs w:val="16"/>
    </w:rPr>
  </w:style>
  <w:style w:type="character" w:styleId="Char" w:customStyle="1">
    <w:name w:val="Κείμενο πλαισίου Char"/>
    <w:basedOn w:val="a0"/>
    <w:link w:val="a4"/>
    <w:uiPriority w:val="99"/>
    <w:semiHidden w:val="1"/>
    <w:rsid w:val="00E8107B"/>
    <w:rPr>
      <w:rFonts w:ascii="Tahoma" w:cs="Tahoma" w:hAnsi="Tahoma"/>
      <w:sz w:val="16"/>
      <w:szCs w:val="16"/>
    </w:rPr>
  </w:style>
  <w:style w:type="table" w:styleId="a5">
    <w:name w:val="Table Grid"/>
    <w:basedOn w:val="a1"/>
    <w:uiPriority w:val="39"/>
    <w:rsid w:val="00552C3D"/>
    <w:pPr>
      <w:spacing w:line="240" w:lineRule="auto"/>
    </w:pPr>
    <w:tblPr>
      <w:tblBorders>
        <w:top w:color="000000" w:space="0" w:sz="4" w:themeColor="text1" w:val="single"/>
        <w:left w:color="000000" w:space="0" w:sz="4" w:themeColor="text1" w:val="single"/>
        <w:bottom w:color="000000" w:space="0" w:sz="4" w:themeColor="text1" w:val="single"/>
        <w:right w:color="000000" w:space="0" w:sz="4" w:themeColor="text1" w:val="single"/>
        <w:insideH w:color="000000" w:space="0" w:sz="4" w:themeColor="text1" w:val="single"/>
        <w:insideV w:color="000000" w:space="0" w:sz="4" w:themeColor="text1" w:val="single"/>
      </w:tblBorders>
    </w:tblPr>
  </w:style>
  <w:style w:type="paragraph" w:styleId="a6">
    <w:name w:val="footer"/>
    <w:basedOn w:val="a"/>
    <w:link w:val="Char0"/>
    <w:uiPriority w:val="99"/>
    <w:unhideWhenUsed w:val="1"/>
    <w:rsid w:val="00BD1B89"/>
    <w:pPr>
      <w:tabs>
        <w:tab w:val="center" w:pos="4153"/>
        <w:tab w:val="right" w:pos="8306"/>
      </w:tabs>
      <w:spacing w:line="240" w:lineRule="auto"/>
    </w:pPr>
  </w:style>
  <w:style w:type="character" w:styleId="Char0" w:customStyle="1">
    <w:name w:val="Υποσέλιδο Char"/>
    <w:basedOn w:val="a0"/>
    <w:link w:val="a6"/>
    <w:uiPriority w:val="99"/>
    <w:rsid w:val="00BD1B89"/>
  </w:style>
  <w:style w:type="character" w:styleId="a7">
    <w:name w:val="page number"/>
    <w:basedOn w:val="a0"/>
    <w:uiPriority w:val="99"/>
    <w:semiHidden w:val="1"/>
    <w:unhideWhenUsed w:val="1"/>
    <w:rsid w:val="00BD1B89"/>
  </w:style>
  <w:style w:type="character" w:styleId="a8">
    <w:name w:val="Strong"/>
    <w:basedOn w:val="a0"/>
    <w:uiPriority w:val="22"/>
    <w:qFormat w:val="1"/>
    <w:rsid w:val="00E512A9"/>
    <w:rPr>
      <w:b w:val="1"/>
      <w:bCs w:val="1"/>
    </w:rPr>
  </w:style>
  <w:style w:type="character" w:styleId="a9">
    <w:name w:val="Emphasis"/>
    <w:basedOn w:val="a0"/>
    <w:uiPriority w:val="20"/>
    <w:qFormat w:val="1"/>
    <w:rsid w:val="00263A9F"/>
    <w:rPr>
      <w:i w:val="1"/>
      <w:iCs w:val="1"/>
    </w:rPr>
  </w:style>
  <w:style w:type="paragraph" w:styleId="Default" w:customStyle="1">
    <w:name w:val="Default"/>
    <w:uiPriority w:val="99"/>
    <w:rsid w:val="00CB5183"/>
    <w:pPr>
      <w:autoSpaceDE w:val="0"/>
      <w:autoSpaceDN w:val="0"/>
      <w:adjustRightInd w:val="0"/>
      <w:spacing w:line="240" w:lineRule="auto"/>
      <w:ind w:firstLine="720"/>
    </w:pPr>
    <w:rPr>
      <w:rFonts w:ascii="Times New Roman" w:cs="Times New Roman" w:eastAsia="Calibri" w:hAnsi="Times New Roman"/>
      <w:color w:val="000000"/>
      <w:sz w:val="24"/>
      <w:szCs w:val="24"/>
      <w:lang w:eastAsia="en-US"/>
    </w:rPr>
  </w:style>
  <w:style w:type="character" w:styleId="3Char" w:customStyle="1">
    <w:name w:val="Επικεφαλίδα 3 Char"/>
    <w:basedOn w:val="a0"/>
    <w:link w:val="3"/>
    <w:uiPriority w:val="9"/>
    <w:rsid w:val="00CB5183"/>
    <w:rPr>
      <w:rFonts w:asciiTheme="majorHAnsi" w:cstheme="majorBidi" w:eastAsiaTheme="majorEastAsia" w:hAnsiTheme="majorHAnsi"/>
      <w:b w:val="1"/>
      <w:bCs w:val="1"/>
      <w:color w:val="4f81bd" w:themeColor="accent1"/>
    </w:rPr>
  </w:style>
  <w:style w:type="paragraph" w:styleId="aa">
    <w:name w:val="header"/>
    <w:basedOn w:val="a"/>
    <w:link w:val="Char1"/>
    <w:uiPriority w:val="99"/>
    <w:unhideWhenUsed w:val="1"/>
    <w:rsid w:val="0096351D"/>
    <w:pPr>
      <w:tabs>
        <w:tab w:val="center" w:pos="4153"/>
        <w:tab w:val="right" w:pos="8306"/>
      </w:tabs>
      <w:spacing w:line="240" w:lineRule="auto"/>
    </w:pPr>
  </w:style>
  <w:style w:type="character" w:styleId="Char1" w:customStyle="1">
    <w:name w:val="Κεφαλίδα Char"/>
    <w:basedOn w:val="a0"/>
    <w:link w:val="aa"/>
    <w:uiPriority w:val="99"/>
    <w:rsid w:val="0096351D"/>
  </w:style>
  <w:style w:type="paragraph" w:styleId="ab">
    <w:name w:val="footnote text"/>
    <w:basedOn w:val="a"/>
    <w:link w:val="Char2"/>
    <w:uiPriority w:val="99"/>
    <w:semiHidden w:val="1"/>
    <w:unhideWhenUsed w:val="1"/>
    <w:rsid w:val="001B61C4"/>
    <w:pPr>
      <w:spacing w:line="240" w:lineRule="auto"/>
    </w:pPr>
    <w:rPr>
      <w:sz w:val="20"/>
      <w:szCs w:val="20"/>
    </w:rPr>
  </w:style>
  <w:style w:type="character" w:styleId="Char2" w:customStyle="1">
    <w:name w:val="Κείμενο υποσημείωσης Char"/>
    <w:basedOn w:val="a0"/>
    <w:link w:val="ab"/>
    <w:uiPriority w:val="99"/>
    <w:semiHidden w:val="1"/>
    <w:rsid w:val="001B61C4"/>
    <w:rPr>
      <w:sz w:val="20"/>
      <w:szCs w:val="20"/>
    </w:rPr>
  </w:style>
  <w:style w:type="character" w:styleId="ac">
    <w:name w:val="footnote reference"/>
    <w:basedOn w:val="a0"/>
    <w:uiPriority w:val="99"/>
    <w:semiHidden w:val="1"/>
    <w:unhideWhenUsed w:val="1"/>
    <w:rsid w:val="001B61C4"/>
    <w:rPr>
      <w:vertAlign w:val="superscript"/>
    </w:rPr>
  </w:style>
  <w:style w:type="character" w:styleId="highwire-citation-author" w:customStyle="1">
    <w:name w:val="highwire-citation-author"/>
    <w:basedOn w:val="a0"/>
    <w:rsid w:val="003B7EDE"/>
  </w:style>
  <w:style w:type="character" w:styleId="nlm-surname" w:customStyle="1">
    <w:name w:val="nlm-surname"/>
    <w:basedOn w:val="a0"/>
    <w:rsid w:val="003B7EDE"/>
  </w:style>
  <w:style w:type="paragraph" w:styleId="Web">
    <w:name w:val="Normal (Web)"/>
    <w:basedOn w:val="a"/>
    <w:uiPriority w:val="99"/>
    <w:unhideWhenUsed w:val="1"/>
    <w:rsid w:val="00192A42"/>
    <w:pPr>
      <w:spacing w:after="100" w:afterAutospacing="1" w:before="100" w:beforeAutospacing="1" w:line="240" w:lineRule="auto"/>
    </w:pPr>
    <w:rPr>
      <w:rFonts w:ascii="Times New Roman" w:cs="Times New Roman" w:eastAsia="Times New Roman" w:hAnsi="Times New Roman"/>
      <w:sz w:val="24"/>
      <w:szCs w:val="24"/>
    </w:rPr>
  </w:style>
  <w:style w:type="paragraph" w:styleId="p" w:customStyle="1">
    <w:name w:val="p"/>
    <w:basedOn w:val="a"/>
    <w:rsid w:val="0084384E"/>
    <w:pPr>
      <w:spacing w:after="100" w:afterAutospacing="1" w:before="100" w:beforeAutospacing="1" w:line="240" w:lineRule="auto"/>
    </w:pPr>
    <w:rPr>
      <w:rFonts w:ascii="Times New Roman" w:cs="Times New Roman" w:eastAsia="Times New Roman" w:hAnsi="Times New Roman"/>
      <w:sz w:val="24"/>
      <w:szCs w:val="24"/>
    </w:rPr>
  </w:style>
  <w:style w:type="character" w:styleId="ref-journal" w:customStyle="1">
    <w:name w:val="ref-journal"/>
    <w:basedOn w:val="a0"/>
    <w:rsid w:val="00D2361A"/>
  </w:style>
  <w:style w:type="character" w:styleId="1Char" w:customStyle="1">
    <w:name w:val="Επικεφαλίδα 1 Char"/>
    <w:basedOn w:val="a0"/>
    <w:link w:val="10"/>
    <w:uiPriority w:val="9"/>
    <w:rsid w:val="00974E68"/>
    <w:rPr>
      <w:rFonts w:asciiTheme="majorHAnsi" w:cstheme="majorBidi" w:eastAsiaTheme="majorEastAsia" w:hAnsiTheme="majorHAnsi"/>
      <w:b w:val="1"/>
      <w:bCs w:val="1"/>
      <w:color w:val="365f91" w:themeColor="accent1" w:themeShade="0000BF"/>
      <w:sz w:val="28"/>
      <w:szCs w:val="28"/>
    </w:rPr>
  </w:style>
  <w:style w:type="paragraph" w:styleId="ad">
    <w:name w:val="TOC Heading"/>
    <w:basedOn w:val="10"/>
    <w:next w:val="a"/>
    <w:uiPriority w:val="39"/>
    <w:unhideWhenUsed w:val="1"/>
    <w:qFormat w:val="1"/>
    <w:rsid w:val="0019407C"/>
    <w:pPr>
      <w:outlineLvl w:val="9"/>
    </w:pPr>
    <w:rPr>
      <w:lang w:eastAsia="en-US"/>
    </w:rPr>
  </w:style>
  <w:style w:type="paragraph" w:styleId="11">
    <w:name w:val="toc 1"/>
    <w:basedOn w:val="a"/>
    <w:next w:val="a"/>
    <w:autoRedefine w:val="1"/>
    <w:uiPriority w:val="39"/>
    <w:unhideWhenUsed w:val="1"/>
    <w:rsid w:val="002D3836"/>
    <w:pPr>
      <w:tabs>
        <w:tab w:val="right" w:leader="dot" w:pos="8296"/>
      </w:tabs>
      <w:spacing w:line="276" w:lineRule="auto"/>
    </w:pPr>
  </w:style>
  <w:style w:type="paragraph" w:styleId="20">
    <w:name w:val="toc 2"/>
    <w:basedOn w:val="a"/>
    <w:next w:val="a"/>
    <w:autoRedefine w:val="1"/>
    <w:uiPriority w:val="39"/>
    <w:unhideWhenUsed w:val="1"/>
    <w:rsid w:val="0019407C"/>
    <w:pPr>
      <w:spacing w:after="100"/>
      <w:ind w:left="220"/>
    </w:pPr>
  </w:style>
  <w:style w:type="paragraph" w:styleId="30">
    <w:name w:val="toc 3"/>
    <w:basedOn w:val="a"/>
    <w:next w:val="a"/>
    <w:autoRedefine w:val="1"/>
    <w:uiPriority w:val="39"/>
    <w:unhideWhenUsed w:val="1"/>
    <w:rsid w:val="0019407C"/>
    <w:pPr>
      <w:spacing w:after="100"/>
      <w:ind w:left="440"/>
    </w:pPr>
  </w:style>
  <w:style w:type="character" w:styleId="ae">
    <w:name w:val="endnote reference"/>
    <w:basedOn w:val="a0"/>
    <w:uiPriority w:val="99"/>
    <w:semiHidden w:val="1"/>
    <w:unhideWhenUsed w:val="1"/>
    <w:rsid w:val="00415F0A"/>
    <w:rPr>
      <w:vertAlign w:val="superscript"/>
    </w:rPr>
  </w:style>
  <w:style w:type="character" w:styleId="4Char" w:customStyle="1">
    <w:name w:val="Επικεφαλίδα 4 Char"/>
    <w:basedOn w:val="a0"/>
    <w:link w:val="4"/>
    <w:uiPriority w:val="9"/>
    <w:rsid w:val="000D31B3"/>
    <w:rPr>
      <w:rFonts w:asciiTheme="majorHAnsi" w:cstheme="majorBidi" w:eastAsiaTheme="majorEastAsia" w:hAnsiTheme="majorHAnsi"/>
      <w:b w:val="1"/>
      <w:bCs w:val="1"/>
      <w:i w:val="1"/>
      <w:iCs w:val="1"/>
      <w:color w:val="4f81bd" w:themeColor="accent1"/>
    </w:rPr>
  </w:style>
  <w:style w:type="paragraph" w:styleId="citation" w:customStyle="1">
    <w:name w:val="citation"/>
    <w:basedOn w:val="a"/>
    <w:rsid w:val="009C18F4"/>
    <w:pPr>
      <w:spacing w:after="100" w:afterAutospacing="1" w:before="100" w:beforeAutospacing="1" w:line="240" w:lineRule="auto"/>
    </w:pPr>
    <w:rPr>
      <w:rFonts w:ascii="Times New Roman" w:cs="Times New Roman" w:eastAsia="Times New Roman" w:hAnsi="Times New Roman"/>
      <w:sz w:val="24"/>
      <w:szCs w:val="24"/>
    </w:rPr>
  </w:style>
  <w:style w:type="paragraph" w:styleId="af" w:customStyle="1">
    <w:name w:val="κειμενο"/>
    <w:basedOn w:val="a"/>
    <w:link w:val="Char3"/>
    <w:autoRedefine w:val="1"/>
    <w:rsid w:val="00C359E3"/>
    <w:rPr>
      <w:rFonts w:ascii="Times New Roman" w:cs="Times New Roman" w:eastAsia="Times New Roman" w:hAnsi="Times New Roman"/>
      <w:bCs w:val="1"/>
      <w:iCs w:val="1"/>
      <w:sz w:val="24"/>
      <w:szCs w:val="24"/>
    </w:rPr>
  </w:style>
  <w:style w:type="character" w:styleId="Char3" w:customStyle="1">
    <w:name w:val="κειμενο Char"/>
    <w:basedOn w:val="a0"/>
    <w:link w:val="af"/>
    <w:rsid w:val="00C359E3"/>
    <w:rPr>
      <w:rFonts w:ascii="Times New Roman" w:cs="Times New Roman" w:eastAsia="Times New Roman" w:hAnsi="Times New Roman"/>
      <w:bCs w:val="1"/>
      <w:iCs w:val="1"/>
      <w:sz w:val="24"/>
      <w:szCs w:val="24"/>
    </w:rPr>
  </w:style>
  <w:style w:type="character" w:styleId="UnresolvedMention" w:customStyle="1">
    <w:name w:val="Unresolved Mention"/>
    <w:basedOn w:val="a0"/>
    <w:uiPriority w:val="99"/>
    <w:semiHidden w:val="1"/>
    <w:unhideWhenUsed w:val="1"/>
    <w:rsid w:val="00A7145C"/>
    <w:rPr>
      <w:color w:val="605e5c"/>
      <w:shd w:color="auto" w:fill="e1dfdd" w:val="clear"/>
    </w:rPr>
  </w:style>
  <w:style w:type="character" w:styleId="cit-auth" w:customStyle="1">
    <w:name w:val="cit-auth"/>
    <w:basedOn w:val="a0"/>
    <w:rsid w:val="00FA490B"/>
  </w:style>
  <w:style w:type="character" w:styleId="HTML">
    <w:name w:val="HTML Cite"/>
    <w:basedOn w:val="a0"/>
    <w:uiPriority w:val="99"/>
    <w:semiHidden w:val="1"/>
    <w:unhideWhenUsed w:val="1"/>
    <w:rsid w:val="00FA490B"/>
    <w:rPr>
      <w:i w:val="1"/>
      <w:iCs w:val="1"/>
    </w:rPr>
  </w:style>
  <w:style w:type="character" w:styleId="cit-source" w:customStyle="1">
    <w:name w:val="cit-source"/>
    <w:basedOn w:val="a0"/>
    <w:rsid w:val="00FA490B"/>
  </w:style>
  <w:style w:type="character" w:styleId="cit-publ-loc" w:customStyle="1">
    <w:name w:val="cit-publ-loc"/>
    <w:basedOn w:val="a0"/>
    <w:rsid w:val="00FA490B"/>
  </w:style>
  <w:style w:type="character" w:styleId="cit-publ-name" w:customStyle="1">
    <w:name w:val="cit-publ-name"/>
    <w:basedOn w:val="a0"/>
    <w:rsid w:val="00FA490B"/>
  </w:style>
  <w:style w:type="character" w:styleId="cit-pub-date" w:customStyle="1">
    <w:name w:val="cit-pub-date"/>
    <w:basedOn w:val="a0"/>
    <w:rsid w:val="00FA490B"/>
  </w:style>
  <w:style w:type="character" w:styleId="cit-name-surname" w:customStyle="1">
    <w:name w:val="cit-name-surname"/>
    <w:basedOn w:val="a0"/>
    <w:rsid w:val="00C97BB9"/>
  </w:style>
  <w:style w:type="character" w:styleId="cit-name-given-names" w:customStyle="1">
    <w:name w:val="cit-name-given-names"/>
    <w:basedOn w:val="a0"/>
    <w:rsid w:val="00C97BB9"/>
  </w:style>
  <w:style w:type="character" w:styleId="ej-keyword" w:customStyle="1">
    <w:name w:val="ej-keyword"/>
    <w:basedOn w:val="a0"/>
    <w:rsid w:val="00132615"/>
  </w:style>
  <w:style w:type="paragraph" w:styleId="Af0" w:customStyle="1">
    <w:name w:val="Κύριο τμήμα A"/>
    <w:rsid w:val="0091026A"/>
    <w:pPr>
      <w:pBdr>
        <w:top w:space="0" w:sz="0" w:val="nil"/>
        <w:left w:space="0" w:sz="0" w:val="nil"/>
        <w:bottom w:space="0" w:sz="0" w:val="nil"/>
        <w:right w:space="0" w:sz="0" w:val="nil"/>
        <w:between w:space="0" w:sz="0" w:val="nil"/>
        <w:bar w:space="0" w:sz="0" w:val="nil"/>
      </w:pBdr>
      <w:spacing w:line="240" w:lineRule="auto"/>
      <w:jc w:val="left"/>
    </w:pPr>
    <w:rPr>
      <w:rFonts w:ascii="Helvetica Neue" w:cs="Arial Unicode MS" w:eastAsia="Arial Unicode MS" w:hAnsi="Helvetica Neue"/>
      <w:color w:val="000000"/>
      <w:u w:color="000000"/>
      <w:bdr w:space="0" w:sz="0" w:val="nil"/>
    </w:rPr>
  </w:style>
  <w:style w:type="character" w:styleId="Hyperlink0" w:customStyle="1">
    <w:name w:val="Hyperlink.0"/>
    <w:basedOn w:val="a0"/>
    <w:rsid w:val="00D361E8"/>
    <w:rPr>
      <w:sz w:val="24"/>
      <w:szCs w:val="24"/>
    </w:rPr>
  </w:style>
  <w:style w:type="numbering" w:styleId="1" w:customStyle="1">
    <w:name w:val="Εισήχθηκε το στιλ 1"/>
    <w:rsid w:val="00D361E8"/>
    <w:pPr>
      <w:numPr>
        <w:numId w:val="28"/>
      </w:numPr>
    </w:pPr>
  </w:style>
  <w:style w:type="paragraph" w:styleId="2A" w:customStyle="1">
    <w:name w:val="Στιλ πίνακα 2 A"/>
    <w:rsid w:val="00D361E8"/>
    <w:pPr>
      <w:pBdr>
        <w:top w:space="0" w:sz="0" w:val="nil"/>
        <w:left w:space="0" w:sz="0" w:val="nil"/>
        <w:bottom w:space="0" w:sz="0" w:val="nil"/>
        <w:right w:space="0" w:sz="0" w:val="nil"/>
        <w:between w:space="0" w:sz="0" w:val="nil"/>
        <w:bar w:space="0" w:sz="0" w:val="nil"/>
      </w:pBdr>
      <w:spacing w:line="240" w:lineRule="auto"/>
      <w:jc w:val="left"/>
    </w:pPr>
    <w:rPr>
      <w:rFonts w:ascii="Helvetica Neue" w:cs="Arial Unicode MS" w:eastAsia="Arial Unicode MS" w:hAnsi="Helvetica Neue"/>
      <w:color w:val="000000"/>
      <w:sz w:val="20"/>
      <w:szCs w:val="20"/>
      <w:u w:color="000000"/>
      <w:bdr w:space="0" w:sz="0" w:val="nil"/>
    </w:rPr>
  </w:style>
  <w:style w:type="paragraph" w:styleId="Af1" w:customStyle="1">
    <w:name w:val="Προεπιλογή A"/>
    <w:rsid w:val="00D361E8"/>
    <w:pPr>
      <w:pBdr>
        <w:top w:space="0" w:sz="0" w:val="nil"/>
        <w:left w:space="0" w:sz="0" w:val="nil"/>
        <w:bottom w:space="0" w:sz="0" w:val="nil"/>
        <w:right w:space="0" w:sz="0" w:val="nil"/>
        <w:between w:space="0" w:sz="0" w:val="nil"/>
        <w:bar w:space="0" w:sz="0" w:val="nil"/>
      </w:pBdr>
      <w:spacing w:line="240" w:lineRule="auto"/>
      <w:jc w:val="left"/>
    </w:pPr>
    <w:rPr>
      <w:rFonts w:ascii="Helvetica Neue" w:cs="Arial Unicode MS" w:eastAsia="Arial Unicode MS" w:hAnsi="Helvetica Neue"/>
      <w:color w:val="000000"/>
      <w:u w:color="000000"/>
      <w:bdr w:space="0" w:sz="0" w:val="nil"/>
    </w:rPr>
  </w:style>
  <w:style w:type="paragraph" w:styleId="AA0" w:customStyle="1">
    <w:name w:val="Κύριο τμήμα A A"/>
    <w:rsid w:val="00D361E8"/>
    <w:pPr>
      <w:pBdr>
        <w:top w:space="0" w:sz="0" w:val="nil"/>
        <w:left w:space="0" w:sz="0" w:val="nil"/>
        <w:bottom w:space="0" w:sz="0" w:val="nil"/>
        <w:right w:space="0" w:sz="0" w:val="nil"/>
        <w:between w:space="0" w:sz="0" w:val="nil"/>
        <w:bar w:space="0" w:sz="0" w:val="nil"/>
      </w:pBdr>
      <w:spacing w:line="240" w:lineRule="auto"/>
      <w:jc w:val="left"/>
    </w:pPr>
    <w:rPr>
      <w:rFonts w:ascii="Times New Roman" w:cs="Arial Unicode MS" w:eastAsia="Arial Unicode MS" w:hAnsi="Times New Roman"/>
      <w:color w:val="000000"/>
      <w:u w:color="000000"/>
      <w:bdr w:space="0" w:sz="0" w:val="nil"/>
    </w:rPr>
  </w:style>
  <w:style w:type="paragraph" w:styleId="af2">
    <w:name w:val="No Spacing"/>
    <w:uiPriority w:val="1"/>
    <w:qFormat w:val="1"/>
    <w:rsid w:val="00DC793A"/>
    <w:pPr>
      <w:spacing w:line="240" w:lineRule="auto"/>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pPr>
      <w:spacing w:line="240" w:lineRule="auto"/>
    </w:pPr>
    <w:tblPr>
      <w:tblStyleRowBandSize w:val="1"/>
      <w:tblStyleColBandSize w:val="1"/>
      <w:tblCellMar>
        <w:top w:w="0.0" w:type="dxa"/>
        <w:left w:w="108.0" w:type="dxa"/>
        <w:bottom w:w="0.0" w:type="dxa"/>
        <w:right w:w="108.0" w:type="dxa"/>
      </w:tblCellMar>
    </w:tblPr>
  </w:style>
  <w:style w:type="table" w:styleId="Table2">
    <w:basedOn w:val="TableNormal"/>
    <w:pPr>
      <w:spacing w:line="240" w:lineRule="auto"/>
    </w:pPr>
    <w:tblPr>
      <w:tblStyleRowBandSize w:val="1"/>
      <w:tblStyleColBandSize w:val="1"/>
      <w:tblCellMar>
        <w:top w:w="0.0" w:type="dxa"/>
        <w:left w:w="108.0" w:type="dxa"/>
        <w:bottom w:w="0.0" w:type="dxa"/>
        <w:right w:w="108.0" w:type="dxa"/>
      </w:tblCellMar>
    </w:tblPr>
  </w:style>
  <w:style w:type="table" w:styleId="Table3">
    <w:basedOn w:val="TableNormal"/>
    <w:pPr>
      <w:spacing w:line="240" w:lineRule="auto"/>
    </w:pPr>
    <w:tblPr>
      <w:tblStyleRowBandSize w:val="1"/>
      <w:tblStyleColBandSize w:val="1"/>
      <w:tblCellMar>
        <w:top w:w="0.0" w:type="dxa"/>
        <w:left w:w="108.0" w:type="dxa"/>
        <w:bottom w:w="0.0" w:type="dxa"/>
        <w:right w:w="108.0" w:type="dxa"/>
      </w:tblCellMar>
    </w:tblPr>
  </w:style>
  <w:style w:type="table" w:styleId="Table4">
    <w:basedOn w:val="TableNormal"/>
    <w:pPr>
      <w:spacing w:line="240" w:lineRule="auto"/>
    </w:pPr>
    <w:tblPr>
      <w:tblStyleRowBandSize w:val="1"/>
      <w:tblStyleColBandSize w:val="1"/>
      <w:tblCellMar>
        <w:top w:w="0.0" w:type="dxa"/>
        <w:left w:w="108.0" w:type="dxa"/>
        <w:bottom w:w="0.0" w:type="dxa"/>
        <w:right w:w="108.0" w:type="dxa"/>
      </w:tblCellMar>
    </w:tblPr>
  </w:style>
  <w:style w:type="table" w:styleId="Table5">
    <w:basedOn w:val="TableNormal"/>
    <w:pPr>
      <w:spacing w:line="240" w:lineRule="auto"/>
    </w:pPr>
    <w:tblPr>
      <w:tblStyleRowBandSize w:val="1"/>
      <w:tblStyleColBandSize w:val="1"/>
      <w:tblCellMar>
        <w:top w:w="0.0" w:type="dxa"/>
        <w:left w:w="108.0" w:type="dxa"/>
        <w:bottom w:w="0.0" w:type="dxa"/>
        <w:right w:w="108.0" w:type="dxa"/>
      </w:tblCellMar>
    </w:tblPr>
  </w:style>
  <w:style w:type="table" w:styleId="Table6">
    <w:basedOn w:val="TableNormal"/>
    <w:pPr>
      <w:spacing w:line="240" w:lineRule="auto"/>
    </w:pPr>
    <w:tblPr>
      <w:tblStyleRowBandSize w:val="1"/>
      <w:tblStyleColBandSize w:val="1"/>
      <w:tblCellMar>
        <w:top w:w="0.0" w:type="dxa"/>
        <w:left w:w="108.0" w:type="dxa"/>
        <w:bottom w:w="0.0" w:type="dxa"/>
        <w:right w:w="108.0" w:type="dxa"/>
      </w:tblCellMar>
    </w:tblPr>
  </w:style>
  <w:style w:type="table" w:styleId="Table7">
    <w:basedOn w:val="TableNormal"/>
    <w:pPr>
      <w:spacing w:line="240" w:lineRule="auto"/>
    </w:pPr>
    <w:tblPr>
      <w:tblStyleRowBandSize w:val="1"/>
      <w:tblStyleColBandSize w:val="1"/>
      <w:tblCellMar>
        <w:top w:w="0.0" w:type="dxa"/>
        <w:left w:w="108.0" w:type="dxa"/>
        <w:bottom w:w="0.0" w:type="dxa"/>
        <w:right w:w="108.0" w:type="dxa"/>
      </w:tblCellMar>
    </w:tblPr>
  </w:style>
  <w:style w:type="table" w:styleId="Table8">
    <w:basedOn w:val="TableNormal"/>
    <w:pPr>
      <w:spacing w:line="240" w:lineRule="auto"/>
    </w:pPr>
    <w:tblPr>
      <w:tblStyleRowBandSize w:val="1"/>
      <w:tblStyleColBandSize w:val="1"/>
      <w:tblCellMar>
        <w:top w:w="0.0" w:type="dxa"/>
        <w:left w:w="108.0" w:type="dxa"/>
        <w:bottom w:w="0.0" w:type="dxa"/>
        <w:right w:w="108.0" w:type="dxa"/>
      </w:tblCellMar>
    </w:tblPr>
  </w:style>
  <w:style w:type="table" w:styleId="Table9">
    <w:basedOn w:val="TableNormal"/>
    <w:pPr>
      <w:spacing w:line="240" w:lineRule="auto"/>
    </w:pPr>
    <w:tblPr>
      <w:tblStyleRowBandSize w:val="1"/>
      <w:tblStyleColBandSize w:val="1"/>
      <w:tblCellMar>
        <w:top w:w="0.0" w:type="dxa"/>
        <w:left w:w="108.0" w:type="dxa"/>
        <w:bottom w:w="0.0" w:type="dxa"/>
        <w:right w:w="108.0" w:type="dxa"/>
      </w:tblCellMar>
    </w:tblPr>
  </w:style>
  <w:style w:type="table" w:styleId="Table10">
    <w:basedOn w:val="TableNormal"/>
    <w:pPr>
      <w:spacing w:line="240" w:lineRule="auto"/>
    </w:pPr>
    <w:tblPr>
      <w:tblStyleRowBandSize w:val="1"/>
      <w:tblStyleColBandSize w:val="1"/>
      <w:tblCellMar>
        <w:top w:w="0.0" w:type="dxa"/>
        <w:left w:w="108.0" w:type="dxa"/>
        <w:bottom w:w="0.0" w:type="dxa"/>
        <w:right w:w="108.0" w:type="dxa"/>
      </w:tblCellMar>
    </w:tblPr>
  </w:style>
  <w:style w:type="table" w:styleId="Table11">
    <w:basedOn w:val="TableNormal"/>
    <w:pPr>
      <w:spacing w:line="240" w:lineRule="auto"/>
    </w:pPr>
    <w:tblPr>
      <w:tblStyleRowBandSize w:val="1"/>
      <w:tblStyleColBandSize w:val="1"/>
      <w:tblCellMar>
        <w:top w:w="0.0" w:type="dxa"/>
        <w:left w:w="108.0" w:type="dxa"/>
        <w:bottom w:w="0.0" w:type="dxa"/>
        <w:right w:w="108.0" w:type="dxa"/>
      </w:tblCellMar>
    </w:tblPr>
  </w:style>
  <w:style w:type="table" w:styleId="Table12">
    <w:basedOn w:val="TableNormal"/>
    <w:pPr>
      <w:spacing w:line="240" w:lineRule="auto"/>
    </w:pPr>
    <w:tblPr>
      <w:tblStyleRowBandSize w:val="1"/>
      <w:tblStyleColBandSize w:val="1"/>
      <w:tblCellMar>
        <w:top w:w="0.0" w:type="dxa"/>
        <w:left w:w="108.0" w:type="dxa"/>
        <w:bottom w:w="0.0" w:type="dxa"/>
        <w:right w:w="108.0" w:type="dxa"/>
      </w:tblCellMar>
    </w:tblPr>
  </w:style>
  <w:style w:type="table" w:styleId="Table13">
    <w:basedOn w:val="TableNormal"/>
    <w:pPr>
      <w:spacing w:line="240" w:lineRule="auto"/>
    </w:pPr>
    <w:tblPr>
      <w:tblStyleRowBandSize w:val="1"/>
      <w:tblStyleColBandSize w:val="1"/>
      <w:tblCellMar>
        <w:top w:w="0.0" w:type="dxa"/>
        <w:left w:w="108.0" w:type="dxa"/>
        <w:bottom w:w="0.0" w:type="dxa"/>
        <w:right w:w="108.0" w:type="dxa"/>
      </w:tblCellMar>
    </w:tblPr>
  </w:style>
  <w:style w:type="table" w:styleId="Table14">
    <w:basedOn w:val="TableNormal"/>
    <w:pPr>
      <w:spacing w:line="240" w:lineRule="auto"/>
    </w:pPr>
    <w:tblPr>
      <w:tblStyleRowBandSize w:val="1"/>
      <w:tblStyleColBandSize w:val="1"/>
      <w:tblCellMar>
        <w:top w:w="0.0" w:type="dxa"/>
        <w:left w:w="108.0" w:type="dxa"/>
        <w:bottom w:w="0.0" w:type="dxa"/>
        <w:right w:w="108.0" w:type="dxa"/>
      </w:tblCellMar>
    </w:tblPr>
  </w:style>
  <w:style w:type="table" w:styleId="Table15">
    <w:basedOn w:val="TableNormal"/>
    <w:pPr>
      <w:spacing w:line="240" w:lineRule="auto"/>
    </w:pPr>
    <w:tblPr>
      <w:tblStyleRowBandSize w:val="1"/>
      <w:tblStyleColBandSize w:val="1"/>
      <w:tblCellMar>
        <w:top w:w="0.0" w:type="dxa"/>
        <w:left w:w="108.0" w:type="dxa"/>
        <w:bottom w:w="0.0" w:type="dxa"/>
        <w:right w:w="108.0" w:type="dxa"/>
      </w:tblCellMar>
    </w:tblPr>
  </w:style>
  <w:style w:type="table" w:styleId="Table16">
    <w:basedOn w:val="TableNormal"/>
    <w:pPr>
      <w:spacing w:line="240" w:lineRule="auto"/>
    </w:p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s://doi.org/10.1787/health-data-en" TargetMode="External"/><Relationship Id="rId22" Type="http://schemas.openxmlformats.org/officeDocument/2006/relationships/chart" Target="charts/chart10.xml"/><Relationship Id="rId21" Type="http://schemas.openxmlformats.org/officeDocument/2006/relationships/chart" Target="charts/chart9.xml"/><Relationship Id="rId24" Type="http://schemas.openxmlformats.org/officeDocument/2006/relationships/chart" Target="charts/chart13.xml"/><Relationship Id="rId23" Type="http://schemas.openxmlformats.org/officeDocument/2006/relationships/chart" Target="charts/chart12.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http://www.who.int/mental_health/evidence/atlas/mental_health_atlas_2017/en/" TargetMode="External"/><Relationship Id="rId26" Type="http://schemas.openxmlformats.org/officeDocument/2006/relationships/chart" Target="charts/chart15.xml"/><Relationship Id="rId25" Type="http://schemas.openxmlformats.org/officeDocument/2006/relationships/chart" Target="charts/chart14.xml"/><Relationship Id="rId28" Type="http://schemas.openxmlformats.org/officeDocument/2006/relationships/chart" Target="charts/chart16.xml"/><Relationship Id="rId27" Type="http://schemas.openxmlformats.org/officeDocument/2006/relationships/hyperlink" Target="https://doi.org/10.1787/health_glance_eur-2018-en" TargetMode="External"/><Relationship Id="rId5" Type="http://schemas.openxmlformats.org/officeDocument/2006/relationships/numbering" Target="numbering.xml"/><Relationship Id="rId6" Type="http://schemas.openxmlformats.org/officeDocument/2006/relationships/styles" Target="styles.xml"/><Relationship Id="rId29" Type="http://schemas.openxmlformats.org/officeDocument/2006/relationships/chart" Target="charts/chart17.xml"/><Relationship Id="rId7" Type="http://schemas.openxmlformats.org/officeDocument/2006/relationships/customXml" Target="../customXML/item1.xml"/><Relationship Id="rId8" Type="http://schemas.openxmlformats.org/officeDocument/2006/relationships/image" Target="media/image1.png"/><Relationship Id="rId31" Type="http://schemas.openxmlformats.org/officeDocument/2006/relationships/hyperlink" Target="https://doi.org/10.1787/health-data-en" TargetMode="External"/><Relationship Id="rId30" Type="http://schemas.openxmlformats.org/officeDocument/2006/relationships/chart" Target="charts/chart18.xml"/><Relationship Id="rId11" Type="http://schemas.openxmlformats.org/officeDocument/2006/relationships/chart" Target="charts/chart1.xml"/><Relationship Id="rId33" Type="http://schemas.openxmlformats.org/officeDocument/2006/relationships/footer" Target="footer1.xml"/><Relationship Id="rId10" Type="http://schemas.openxmlformats.org/officeDocument/2006/relationships/chart" Target="charts/chart2.xml"/><Relationship Id="rId32" Type="http://schemas.openxmlformats.org/officeDocument/2006/relationships/footer" Target="footer2.xml"/><Relationship Id="rId13" Type="http://schemas.openxmlformats.org/officeDocument/2006/relationships/chart" Target="charts/chart3.xml"/><Relationship Id="rId12" Type="http://schemas.openxmlformats.org/officeDocument/2006/relationships/chart" Target="charts/chart4.xml"/><Relationship Id="rId15" Type="http://schemas.openxmlformats.org/officeDocument/2006/relationships/chart" Target="charts/chart5.xml"/><Relationship Id="rId14" Type="http://schemas.openxmlformats.org/officeDocument/2006/relationships/chart" Target="charts/chart6.xml"/><Relationship Id="rId17" Type="http://schemas.openxmlformats.org/officeDocument/2006/relationships/hyperlink" Target="https://doi.org/10.1787/health-data-en" TargetMode="External"/><Relationship Id="rId16" Type="http://schemas.openxmlformats.org/officeDocument/2006/relationships/chart" Target="charts/chart8.xml"/><Relationship Id="rId19" Type="http://schemas.openxmlformats.org/officeDocument/2006/relationships/chart" Target="charts/chart11.xml"/><Relationship Id="rId18" Type="http://schemas.openxmlformats.org/officeDocument/2006/relationships/chart" Target="charts/chart7.xml"/></Relationships>
</file>

<file path=word/_rels/footnotes.xml.rels><?xml version="1.0" encoding="UTF-8" standalone="yes"?><Relationships xmlns="http://schemas.openxmlformats.org/package/2006/relationships"><Relationship Id="rId1" Type="http://schemas.openxmlformats.org/officeDocument/2006/relationships/hyperlink" Target="http://apps.who.int/iris/bitstream/10665/8723%202/1/9789241564618_eng.pdf" TargetMode="External"/><Relationship Id="rId2" Type="http://schemas.openxmlformats.org/officeDocument/2006/relationships/hyperlink" Target="http://apps.who.int/iris/bitstream/10665/8723%202/1/9789241564618_eng.pdf" TargetMode="External"/><Relationship Id="rId3" Type="http://schemas.openxmlformats.org/officeDocument/2006/relationships/hyperlink" Target="https://www.apa.org/monitor/2021/04/ce-mental-illness" TargetMode="External"/><Relationship Id="rId4" Type="http://schemas.openxmlformats.org/officeDocument/2006/relationships/hyperlink" Target="https://www.moh.gov.gr/articles/health/domes-kai-draseis-gia-thn-ygeia/c312-psyxikh-ygeia/monades-psyxikhs-ygeias/5520-ekthesh-sxediasmos-anaptykshs-monadwn-psyxargws" TargetMode="External"/><Relationship Id="rId5" Type="http://schemas.openxmlformats.org/officeDocument/2006/relationships/hyperlink" Target="https://www.moh.gov.gr/articles/health/domes-kai-draseis-gia-thn-ygeia/ethnika-sxedia-drashs/8776-ethniko-sxedio-drashs-gia-th-dhmosia-ygeia-2021-2025" TargetMode="External"/></Relationships>
</file>

<file path=word/charts/_rels/chart1.xml.rels><?xml version="1.0" encoding="UTF-8" standalone="yes"?><Relationships xmlns="http://schemas.openxmlformats.org/package/2006/relationships"><Relationship Id="rId1" Type="http://schemas.openxmlformats.org/officeDocument/2006/relationships/themeOverride" Target="../theme/themeOverride1.xml"/><Relationship Id="rId2" Type="http://schemas.openxmlformats.org/officeDocument/2006/relationships/oleObject" Target="../embeddings/oleObject1.bin"/></Relationships>
</file>

<file path=word/charts/_rels/chart10.xml.rels><?xml version="1.0" encoding="UTF-8" standalone="yes"?><Relationships xmlns="http://schemas.openxmlformats.org/package/2006/relationships"><Relationship Id="rId1" Type="http://schemas.openxmlformats.org/officeDocument/2006/relationships/oleObject" Target="../embeddings/oleObject5.bin"/></Relationships>
</file>

<file path=word/charts/_rels/chart11.xml.rels><?xml version="1.0" encoding="UTF-8" standalone="yes"?><Relationships xmlns="http://schemas.openxmlformats.org/package/2006/relationships"><Relationship Id="rId1" Type="http://schemas.microsoft.com/office/2011/relationships/chartStyle" Target="style6.xml"/><Relationship Id="rId2" Type="http://schemas.microsoft.com/office/2011/relationships/chartColorStyle" Target="colors6.xml"/><Relationship Id="rId3" Type="http://schemas.openxmlformats.org/officeDocument/2006/relationships/package" Target="../embeddings/Microsoft_Excel_Sheet6.xlsx"/></Relationships>
</file>

<file path=word/charts/_rels/chart12.xml.rels><?xml version="1.0" encoding="UTF-8" standalone="yes"?><Relationships xmlns="http://schemas.openxmlformats.org/package/2006/relationships"><Relationship Id="rId1" Type="http://schemas.microsoft.com/office/2011/relationships/chartStyle" Target="style7.xml"/><Relationship Id="rId2" Type="http://schemas.microsoft.com/office/2011/relationships/chartColorStyle" Target="colors7.xml"/><Relationship Id="rId3" Type="http://schemas.openxmlformats.org/officeDocument/2006/relationships/package" Target="../embeddings/Microsoft_Excel_Sheet7.xlsx"/></Relationships>
</file>

<file path=word/charts/_rels/chart13.xml.rels><?xml version="1.0" encoding="UTF-8" standalone="yes"?><Relationships xmlns="http://schemas.openxmlformats.org/package/2006/relationships"><Relationship Id="rId1" Type="http://schemas.microsoft.com/office/2011/relationships/chartStyle" Target="style8.xml"/><Relationship Id="rId2" Type="http://schemas.microsoft.com/office/2011/relationships/chartColorStyle" Target="colors8.xml"/><Relationship Id="rId3" Type="http://schemas.openxmlformats.org/officeDocument/2006/relationships/package" Target="../embeddings/Microsoft_Excel_Sheet8.xlsx"/></Relationships>
</file>

<file path=word/charts/_rels/chart14.xml.rels><?xml version="1.0" encoding="UTF-8" standalone="yes"?><Relationships xmlns="http://schemas.openxmlformats.org/package/2006/relationships"><Relationship Id="rId1" Type="http://schemas.microsoft.com/office/2011/relationships/chartStyle" Target="style9.xml"/><Relationship Id="rId2" Type="http://schemas.microsoft.com/office/2011/relationships/chartColorStyle" Target="colors9.xml"/><Relationship Id="rId3" Type="http://schemas.openxmlformats.org/officeDocument/2006/relationships/package" Target="../embeddings/Microsoft_Excel_Sheet9.xlsx"/></Relationships>
</file>

<file path=word/charts/_rels/chart15.xml.rels><?xml version="1.0" encoding="UTF-8" standalone="yes"?><Relationships xmlns="http://schemas.openxmlformats.org/package/2006/relationships"><Relationship Id="rId1" Type="http://schemas.microsoft.com/office/2011/relationships/chartStyle" Target="style10.xml"/><Relationship Id="rId2" Type="http://schemas.microsoft.com/office/2011/relationships/chartColorStyle" Target="colors10.xml"/><Relationship Id="rId3" Type="http://schemas.openxmlformats.org/officeDocument/2006/relationships/themeOverride" Target="../theme/themeOverride4.xml"/><Relationship Id="rId4" Type="http://schemas.openxmlformats.org/officeDocument/2006/relationships/package" Target="../embeddings/Microsoft_Excel_Sheet10.xlsx"/></Relationships>
</file>

<file path=word/charts/_rels/chart16.xml.rels><?xml version="1.0" encoding="UTF-8" standalone="yes"?><Relationships xmlns="http://schemas.openxmlformats.org/package/2006/relationships"><Relationship Id="rId1" Type="http://schemas.microsoft.com/office/2011/relationships/chartStyle" Target="style11.xml"/><Relationship Id="rId2" Type="http://schemas.microsoft.com/office/2011/relationships/chartColorStyle" Target="colors11.xml"/><Relationship Id="rId3" Type="http://schemas.openxmlformats.org/officeDocument/2006/relationships/package" Target="../embeddings/Microsoft_Excel_Sheet11.xlsx"/></Relationships>
</file>

<file path=word/charts/_rels/chart17.xml.rels><?xml version="1.0" encoding="UTF-8" standalone="yes"?><Relationships xmlns="http://schemas.openxmlformats.org/package/2006/relationships"><Relationship Id="rId1" Type="http://schemas.microsoft.com/office/2011/relationships/chartStyle" Target="style12.xml"/><Relationship Id="rId2" Type="http://schemas.microsoft.com/office/2011/relationships/chartColorStyle" Target="colors12.xml"/><Relationship Id="rId3" Type="http://schemas.openxmlformats.org/officeDocument/2006/relationships/package" Target="../embeddings/Microsoft_Excel_Sheet12.xlsx"/></Relationships>
</file>

<file path=word/charts/_rels/chart18.xml.rels><?xml version="1.0" encoding="UTF-8" standalone="yes"?><Relationships xmlns="http://schemas.openxmlformats.org/package/2006/relationships"><Relationship Id="rId1" Type="http://schemas.microsoft.com/office/2011/relationships/chartStyle" Target="style13.xml"/><Relationship Id="rId2" Type="http://schemas.microsoft.com/office/2011/relationships/chartColorStyle" Target="colors13.xml"/><Relationship Id="rId3" Type="http://schemas.openxmlformats.org/officeDocument/2006/relationships/package" Target="../embeddings/Microsoft_Excel_Sheet13.xlsx"/></Relationships>
</file>

<file path=word/charts/_rels/chart2.xml.rels><?xml version="1.0" encoding="UTF-8" standalone="yes"?><Relationships xmlns="http://schemas.openxmlformats.org/package/2006/relationships"><Relationship Id="rId1" Type="http://schemas.openxmlformats.org/officeDocument/2006/relationships/themeOverride" Target="../theme/themeOverride2.xml"/><Relationship Id="rId2" Type="http://schemas.openxmlformats.org/officeDocument/2006/relationships/oleObject" Target="../embeddings/oleObject2.bin"/><Relationship Id="rId3" Type="http://schemas.openxmlformats.org/officeDocument/2006/relationships/chartUserShapes" Target="../drawings/drawing1.xml"/></Relationships>
</file>

<file path=word/charts/_rels/chart3.xml.rels><?xml version="1.0" encoding="UTF-8" standalone="yes"?><Relationships xmlns="http://schemas.openxmlformats.org/package/2006/relationships"><Relationship Id="rId1" Type="http://schemas.microsoft.com/office/2011/relationships/chartStyle" Target="style1.xml"/><Relationship Id="rId2" Type="http://schemas.microsoft.com/office/2011/relationships/chartColorStyle" Target="colors1.xml"/><Relationship Id="rId3" Type="http://schemas.openxmlformats.org/officeDocument/2006/relationships/package" Target="../embeddings/Microsoft_Excel_Sheet1.xlsx"/></Relationships>
</file>

<file path=word/charts/_rels/chart4.xml.rels><?xml version="1.0" encoding="UTF-8" standalone="yes"?><Relationships xmlns="http://schemas.openxmlformats.org/package/2006/relationships"><Relationship Id="rId1" Type="http://schemas.openxmlformats.org/officeDocument/2006/relationships/themeOverride" Target="../theme/themeOverride3.xml"/><Relationship Id="rId2" Type="http://schemas.openxmlformats.org/officeDocument/2006/relationships/oleObject" Target="../embeddings/oleObject3.bin"/></Relationships>
</file>

<file path=word/charts/_rels/chart5.xml.rels><?xml version="1.0" encoding="UTF-8" standalone="yes"?><Relationships xmlns="http://schemas.openxmlformats.org/package/2006/relationships"><Relationship Id="rId1" Type="http://schemas.microsoft.com/office/2011/relationships/chartStyle" Target="style2.xml"/><Relationship Id="rId2" Type="http://schemas.microsoft.com/office/2011/relationships/chartColorStyle" Target="colors2.xml"/><Relationship Id="rId3" Type="http://schemas.openxmlformats.org/officeDocument/2006/relationships/package" Target="../embeddings/Microsoft_Excel_Sheet2.xlsx"/></Relationships>
</file>

<file path=word/charts/_rels/chart6.xml.rels><?xml version="1.0" encoding="UTF-8" standalone="yes"?><Relationships xmlns="http://schemas.openxmlformats.org/package/2006/relationships"><Relationship Id="rId1" Type="http://schemas.openxmlformats.org/officeDocument/2006/relationships/oleObject" Target="../embeddings/oleObject4.bin"/><Relationship Id="rId2" Type="http://schemas.openxmlformats.org/officeDocument/2006/relationships/chartUserShapes" Target="../drawings/drawing2.xml"/></Relationships>
</file>

<file path=word/charts/_rels/chart7.xml.rels><?xml version="1.0" encoding="UTF-8" standalone="yes"?><Relationships xmlns="http://schemas.openxmlformats.org/package/2006/relationships"><Relationship Id="rId1" Type="http://schemas.microsoft.com/office/2011/relationships/chartStyle" Target="style3.xml"/><Relationship Id="rId2" Type="http://schemas.microsoft.com/office/2011/relationships/chartColorStyle" Target="colors3.xml"/><Relationship Id="rId3" Type="http://schemas.openxmlformats.org/officeDocument/2006/relationships/package" Target="../embeddings/Microsoft_Excel_Sheet3.xlsx"/></Relationships>
</file>

<file path=word/charts/_rels/chart8.xml.rels><?xml version="1.0" encoding="UTF-8" standalone="yes"?><Relationships xmlns="http://schemas.openxmlformats.org/package/2006/relationships"><Relationship Id="rId1" Type="http://schemas.microsoft.com/office/2011/relationships/chartStyle" Target="style4.xml"/><Relationship Id="rId2" Type="http://schemas.microsoft.com/office/2011/relationships/chartColorStyle" Target="colors4.xml"/><Relationship Id="rId3" Type="http://schemas.openxmlformats.org/officeDocument/2006/relationships/package" Target="../embeddings/Microsoft_Excel_Sheet4.xlsx"/></Relationships>
</file>

<file path=word/charts/_rels/chart9.xml.rels><?xml version="1.0" encoding="UTF-8" standalone="yes"?><Relationships xmlns="http://schemas.openxmlformats.org/package/2006/relationships"><Relationship Id="rId1" Type="http://schemas.microsoft.com/office/2011/relationships/chartStyle" Target="style5.xml"/><Relationship Id="rId2" Type="http://schemas.microsoft.com/office/2011/relationships/chartColorStyle" Target="colors5.xml"/><Relationship Id="rId3" Type="http://schemas.openxmlformats.org/officeDocument/2006/relationships/package" Target="../embeddings/Microsoft_Excel_Sheet5.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l-G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3.6395661233412521E-2"/>
          <c:y val="2.2556871248362097E-2"/>
          <c:w val="0.95442572869555597"/>
          <c:h val="0.95488602958087487"/>
        </c:manualLayout>
      </c:layout>
      <c:barChart>
        <c:barDir val="col"/>
        <c:grouping val="stacked"/>
        <c:varyColors val="0"/>
        <c:ser>
          <c:idx val="0"/>
          <c:order val="0"/>
          <c:tx>
            <c:strRef>
              <c:f>'[08ogsu.xlsx]g2-2'!$B$23</c:f>
              <c:strCache>
                <c:ptCount val="1"/>
                <c:pt idx="0">
                  <c:v>AUS</c:v>
                </c:pt>
              </c:strCache>
            </c:strRef>
          </c:tx>
          <c:spPr>
            <a:solidFill>
              <a:sysClr val="window" lastClr="FFFFFF">
                <a:lumMod val="75000"/>
              </a:sysClr>
            </a:solidFill>
            <a:ln>
              <a:solidFill>
                <a:sysClr val="windowText" lastClr="000000"/>
              </a:solidFill>
            </a:ln>
            <a:effectLst/>
            <a:extLst/>
          </c:spPr>
          <c:invertIfNegative val="0"/>
          <c:dLbls>
            <c:spPr>
              <a:noFill/>
              <a:ln w="25400">
                <a:noFill/>
              </a:ln>
            </c:sp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'[08ogsu.xlsx]g2-2'!$A$24:$A$27</c:f>
              <c:strCache>
                <c:ptCount val="4"/>
                <c:pt idx="0">
                  <c:v>24 hours or less</c:v>
                </c:pt>
                <c:pt idx="1">
                  <c:v>1-3 days</c:v>
                </c:pt>
                <c:pt idx="2">
                  <c:v>3-7 days</c:v>
                </c:pt>
                <c:pt idx="3">
                  <c:v>Other</c:v>
                </c:pt>
              </c:strCache>
            </c:strRef>
          </c:cat>
          <c:val>
            <c:numRef>
              <c:f>'[08ogsu.xlsx]g2-2'!$B$24:$B$27</c:f>
              <c:numCache>
                <c:formatCode>General</c:formatCode>
                <c:ptCount val="4"/>
                <c:pt idx="3">
                  <c:v>1</c:v>
                </c:pt>
              </c:numCache>
            </c:numRef>
          </c:val>
          <c:extLst>
            <c:ext xmlns:c16="http://schemas.microsoft.com/office/drawing/2014/chart" uri="{C3380CC4-5D6E-409C-BE32-E72D297353CC}">
              <c16:uniqueId val="{00000000-4B44-4990-83DD-4FB35B53798C}"/>
            </c:ext>
          </c:extLst>
        </c:ser>
        <c:ser>
          <c:idx val="1"/>
          <c:order val="1"/>
          <c:tx>
            <c:strRef>
              <c:f>'[08ogsu.xlsx]g2-2'!$C$23</c:f>
              <c:strCache>
                <c:ptCount val="1"/>
                <c:pt idx="0">
                  <c:v>AUT</c:v>
                </c:pt>
              </c:strCache>
            </c:strRef>
          </c:tx>
          <c:spPr>
            <a:solidFill>
              <a:srgbClr val="5B9BD5">
                <a:lumMod val="60000"/>
                <a:lumOff val="40000"/>
              </a:srgbClr>
            </a:solidFill>
            <a:ln>
              <a:solidFill>
                <a:sysClr val="windowText" lastClr="000000"/>
              </a:solidFill>
            </a:ln>
            <a:effectLst/>
            <a:extLst/>
          </c:spPr>
          <c:invertIfNegative val="0"/>
          <c:dLbls>
            <c:spPr>
              <a:noFill/>
              <a:ln w="25400">
                <a:noFill/>
              </a:ln>
            </c:sp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'[08ogsu.xlsx]g2-2'!$A$24:$A$27</c:f>
              <c:strCache>
                <c:ptCount val="4"/>
                <c:pt idx="0">
                  <c:v>24 hours or less</c:v>
                </c:pt>
                <c:pt idx="1">
                  <c:v>1-3 days</c:v>
                </c:pt>
                <c:pt idx="2">
                  <c:v>3-7 days</c:v>
                </c:pt>
                <c:pt idx="3">
                  <c:v>Other</c:v>
                </c:pt>
              </c:strCache>
            </c:strRef>
          </c:cat>
          <c:val>
            <c:numRef>
              <c:f>'[08ogsu.xlsx]g2-2'!$C$24:$C$27</c:f>
              <c:numCache>
                <c:formatCode>General</c:formatCode>
                <c:ptCount val="4"/>
                <c:pt idx="1">
                  <c:v>1</c:v>
                </c:pt>
              </c:numCache>
            </c:numRef>
          </c:val>
          <c:extLst>
            <c:ext xmlns:c16="http://schemas.microsoft.com/office/drawing/2014/chart" uri="{C3380CC4-5D6E-409C-BE32-E72D297353CC}">
              <c16:uniqueId val="{00000001-4B44-4990-83DD-4FB35B53798C}"/>
            </c:ext>
          </c:extLst>
        </c:ser>
        <c:ser>
          <c:idx val="2"/>
          <c:order val="2"/>
          <c:tx>
            <c:strRef>
              <c:f>'[08ogsu.xlsx]g2-2'!$D$23</c:f>
              <c:strCache>
                <c:ptCount val="1"/>
                <c:pt idx="0">
                  <c:v>BEL</c:v>
                </c:pt>
              </c:strCache>
            </c:strRef>
          </c:tx>
          <c:spPr>
            <a:solidFill>
              <a:srgbClr val="5B9BD5">
                <a:lumMod val="20000"/>
                <a:lumOff val="80000"/>
              </a:srgbClr>
            </a:solidFill>
            <a:ln>
              <a:solidFill>
                <a:sysClr val="windowText" lastClr="000000"/>
              </a:solidFill>
            </a:ln>
            <a:effectLst/>
            <a:extLst/>
          </c:spPr>
          <c:invertIfNegative val="0"/>
          <c:dLbls>
            <c:spPr>
              <a:noFill/>
              <a:ln w="25400">
                <a:noFill/>
              </a:ln>
            </c:sp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'[08ogsu.xlsx]g2-2'!$A$24:$A$27</c:f>
              <c:strCache>
                <c:ptCount val="4"/>
                <c:pt idx="0">
                  <c:v>24 hours or less</c:v>
                </c:pt>
                <c:pt idx="1">
                  <c:v>1-3 days</c:v>
                </c:pt>
                <c:pt idx="2">
                  <c:v>3-7 days</c:v>
                </c:pt>
                <c:pt idx="3">
                  <c:v>Other</c:v>
                </c:pt>
              </c:strCache>
            </c:strRef>
          </c:cat>
          <c:val>
            <c:numRef>
              <c:f>'[08ogsu.xlsx]g2-2'!$D$24:$D$27</c:f>
              <c:numCache>
                <c:formatCode>General</c:formatCode>
                <c:ptCount val="4"/>
                <c:pt idx="0">
                  <c:v>1</c:v>
                </c:pt>
              </c:numCache>
            </c:numRef>
          </c:val>
          <c:extLst>
            <c:ext xmlns:c16="http://schemas.microsoft.com/office/drawing/2014/chart" uri="{C3380CC4-5D6E-409C-BE32-E72D297353CC}">
              <c16:uniqueId val="{00000002-4B44-4990-83DD-4FB35B53798C}"/>
            </c:ext>
          </c:extLst>
        </c:ser>
        <c:ser>
          <c:idx val="3"/>
          <c:order val="3"/>
          <c:tx>
            <c:strRef>
              <c:f>'[08ogsu.xlsx]g2-2'!$E$23</c:f>
              <c:strCache>
                <c:ptCount val="1"/>
                <c:pt idx="0">
                  <c:v>CAN</c:v>
                </c:pt>
              </c:strCache>
            </c:strRef>
          </c:tx>
          <c:spPr>
            <a:solidFill>
              <a:srgbClr val="5B9BD5">
                <a:lumMod val="60000"/>
                <a:lumOff val="40000"/>
              </a:srgbClr>
            </a:solidFill>
            <a:ln>
              <a:solidFill>
                <a:sysClr val="windowText" lastClr="000000"/>
              </a:solidFill>
            </a:ln>
            <a:effectLst/>
            <a:extLst/>
          </c:spPr>
          <c:invertIfNegative val="0"/>
          <c:dLbls>
            <c:spPr>
              <a:noFill/>
              <a:ln w="25400">
                <a:noFill/>
              </a:ln>
            </c:sp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'[08ogsu.xlsx]g2-2'!$A$24:$A$27</c:f>
              <c:strCache>
                <c:ptCount val="4"/>
                <c:pt idx="0">
                  <c:v>24 hours or less</c:v>
                </c:pt>
                <c:pt idx="1">
                  <c:v>1-3 days</c:v>
                </c:pt>
                <c:pt idx="2">
                  <c:v>3-7 days</c:v>
                </c:pt>
                <c:pt idx="3">
                  <c:v>Other</c:v>
                </c:pt>
              </c:strCache>
            </c:strRef>
          </c:cat>
          <c:val>
            <c:numRef>
              <c:f>'[08ogsu.xlsx]g2-2'!$E$24:$E$27</c:f>
              <c:numCache>
                <c:formatCode>General</c:formatCode>
                <c:ptCount val="4"/>
                <c:pt idx="1">
                  <c:v>1</c:v>
                </c:pt>
              </c:numCache>
            </c:numRef>
          </c:val>
          <c:extLst>
            <c:ext xmlns:c16="http://schemas.microsoft.com/office/drawing/2014/chart" uri="{C3380CC4-5D6E-409C-BE32-E72D297353CC}">
              <c16:uniqueId val="{00000003-4B44-4990-83DD-4FB35B53798C}"/>
            </c:ext>
          </c:extLst>
        </c:ser>
        <c:ser>
          <c:idx val="4"/>
          <c:order val="4"/>
          <c:tx>
            <c:strRef>
              <c:f>'[08ogsu.xlsx]g2-2'!$F$23</c:f>
              <c:strCache>
                <c:ptCount val="1"/>
                <c:pt idx="0">
                  <c:v>CZE</c:v>
                </c:pt>
              </c:strCache>
            </c:strRef>
          </c:tx>
          <c:spPr>
            <a:solidFill>
              <a:srgbClr val="5B9BD5">
                <a:lumMod val="50000"/>
              </a:srgbClr>
            </a:solidFill>
            <a:ln>
              <a:solidFill>
                <a:sysClr val="windowText" lastClr="000000"/>
              </a:solidFill>
            </a:ln>
          </c:spPr>
          <c:invertIfNegative val="0"/>
          <c:dLbls>
            <c:spPr>
              <a:noFill/>
              <a:ln w="25400">
                <a:noFill/>
              </a:ln>
            </c:sp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'[08ogsu.xlsx]g2-2'!$A$24:$A$27</c:f>
              <c:strCache>
                <c:ptCount val="4"/>
                <c:pt idx="0">
                  <c:v>24 hours or less</c:v>
                </c:pt>
                <c:pt idx="1">
                  <c:v>1-3 days</c:v>
                </c:pt>
                <c:pt idx="2">
                  <c:v>3-7 days</c:v>
                </c:pt>
                <c:pt idx="3">
                  <c:v>Other</c:v>
                </c:pt>
              </c:strCache>
            </c:strRef>
          </c:cat>
          <c:val>
            <c:numRef>
              <c:f>'[08ogsu.xlsx]g2-2'!$F$24:$F$27</c:f>
              <c:numCache>
                <c:formatCode>General</c:formatCode>
                <c:ptCount val="4"/>
                <c:pt idx="2">
                  <c:v>1</c:v>
                </c:pt>
              </c:numCache>
            </c:numRef>
          </c:val>
          <c:extLst>
            <c:ext xmlns:c16="http://schemas.microsoft.com/office/drawing/2014/chart" uri="{C3380CC4-5D6E-409C-BE32-E72D297353CC}">
              <c16:uniqueId val="{00000004-4B44-4990-83DD-4FB35B53798C}"/>
            </c:ext>
          </c:extLst>
        </c:ser>
        <c:ser>
          <c:idx val="5"/>
          <c:order val="5"/>
          <c:tx>
            <c:strRef>
              <c:f>'[08ogsu.xlsx]g2-2'!$G$23</c:f>
              <c:strCache>
                <c:ptCount val="1"/>
                <c:pt idx="0">
                  <c:v>DNK</c:v>
                </c:pt>
              </c:strCache>
            </c:strRef>
          </c:tx>
          <c:spPr>
            <a:solidFill>
              <a:sysClr val="window" lastClr="FFFFFF">
                <a:lumMod val="75000"/>
              </a:sysClr>
            </a:solidFill>
            <a:ln>
              <a:solidFill>
                <a:sysClr val="windowText" lastClr="000000"/>
              </a:solidFill>
            </a:ln>
          </c:spPr>
          <c:invertIfNegative val="0"/>
          <c:dLbls>
            <c:spPr>
              <a:noFill/>
              <a:ln w="25400">
                <a:noFill/>
              </a:ln>
            </c:sp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'[08ogsu.xlsx]g2-2'!$A$24:$A$27</c:f>
              <c:strCache>
                <c:ptCount val="4"/>
                <c:pt idx="0">
                  <c:v>24 hours or less</c:v>
                </c:pt>
                <c:pt idx="1">
                  <c:v>1-3 days</c:v>
                </c:pt>
                <c:pt idx="2">
                  <c:v>3-7 days</c:v>
                </c:pt>
                <c:pt idx="3">
                  <c:v>Other</c:v>
                </c:pt>
              </c:strCache>
            </c:strRef>
          </c:cat>
          <c:val>
            <c:numRef>
              <c:f>'[08ogsu.xlsx]g2-2'!$G$24:$G$27</c:f>
              <c:numCache>
                <c:formatCode>General</c:formatCode>
                <c:ptCount val="4"/>
                <c:pt idx="3">
                  <c:v>1</c:v>
                </c:pt>
              </c:numCache>
            </c:numRef>
          </c:val>
          <c:extLst>
            <c:ext xmlns:c16="http://schemas.microsoft.com/office/drawing/2014/chart" uri="{C3380CC4-5D6E-409C-BE32-E72D297353CC}">
              <c16:uniqueId val="{00000005-4B44-4990-83DD-4FB35B53798C}"/>
            </c:ext>
          </c:extLst>
        </c:ser>
        <c:ser>
          <c:idx val="6"/>
          <c:order val="6"/>
          <c:tx>
            <c:strRef>
              <c:f>'[08ogsu.xlsx]g2-2'!$H$23</c:f>
              <c:strCache>
                <c:ptCount val="1"/>
                <c:pt idx="0">
                  <c:v>GBR</c:v>
                </c:pt>
              </c:strCache>
            </c:strRef>
          </c:tx>
          <c:spPr>
            <a:solidFill>
              <a:sysClr val="window" lastClr="FFFFFF">
                <a:lumMod val="75000"/>
              </a:sysClr>
            </a:solidFill>
            <a:ln>
              <a:solidFill>
                <a:sysClr val="windowText" lastClr="000000"/>
              </a:solidFill>
            </a:ln>
          </c:spPr>
          <c:invertIfNegative val="0"/>
          <c:dLbls>
            <c:spPr>
              <a:noFill/>
              <a:ln w="25400">
                <a:noFill/>
              </a:ln>
            </c:sp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'[08ogsu.xlsx]g2-2'!$A$24:$A$27</c:f>
              <c:strCache>
                <c:ptCount val="4"/>
                <c:pt idx="0">
                  <c:v>24 hours or less</c:v>
                </c:pt>
                <c:pt idx="1">
                  <c:v>1-3 days</c:v>
                </c:pt>
                <c:pt idx="2">
                  <c:v>3-7 days</c:v>
                </c:pt>
                <c:pt idx="3">
                  <c:v>Other</c:v>
                </c:pt>
              </c:strCache>
            </c:strRef>
          </c:cat>
          <c:val>
            <c:numRef>
              <c:f>'[08ogsu.xlsx]g2-2'!$H$24:$H$27</c:f>
              <c:numCache>
                <c:formatCode>General</c:formatCode>
                <c:ptCount val="4"/>
                <c:pt idx="3">
                  <c:v>1</c:v>
                </c:pt>
              </c:numCache>
            </c:numRef>
          </c:val>
          <c:extLst>
            <c:ext xmlns:c16="http://schemas.microsoft.com/office/drawing/2014/chart" uri="{C3380CC4-5D6E-409C-BE32-E72D297353CC}">
              <c16:uniqueId val="{00000006-4B44-4990-83DD-4FB35B53798C}"/>
            </c:ext>
          </c:extLst>
        </c:ser>
        <c:ser>
          <c:idx val="7"/>
          <c:order val="7"/>
          <c:tx>
            <c:strRef>
              <c:f>'[08ogsu.xlsx]g2-2'!$I$23</c:f>
              <c:strCache>
                <c:ptCount val="1"/>
                <c:pt idx="0">
                  <c:v>EST</c:v>
                </c:pt>
              </c:strCache>
            </c:strRef>
          </c:tx>
          <c:spPr>
            <a:solidFill>
              <a:srgbClr val="5B9BD5">
                <a:lumMod val="60000"/>
                <a:lumOff val="40000"/>
              </a:srgbClr>
            </a:solidFill>
            <a:ln>
              <a:solidFill>
                <a:sysClr val="windowText" lastClr="000000"/>
              </a:solidFill>
            </a:ln>
          </c:spPr>
          <c:invertIfNegative val="0"/>
          <c:dLbls>
            <c:spPr>
              <a:noFill/>
              <a:ln w="25400">
                <a:noFill/>
              </a:ln>
            </c:sp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'[08ogsu.xlsx]g2-2'!$A$24:$A$27</c:f>
              <c:strCache>
                <c:ptCount val="4"/>
                <c:pt idx="0">
                  <c:v>24 hours or less</c:v>
                </c:pt>
                <c:pt idx="1">
                  <c:v>1-3 days</c:v>
                </c:pt>
                <c:pt idx="2">
                  <c:v>3-7 days</c:v>
                </c:pt>
                <c:pt idx="3">
                  <c:v>Other</c:v>
                </c:pt>
              </c:strCache>
            </c:strRef>
          </c:cat>
          <c:val>
            <c:numRef>
              <c:f>'[08ogsu.xlsx]g2-2'!$I$24:$I$27</c:f>
              <c:numCache>
                <c:formatCode>General</c:formatCode>
                <c:ptCount val="4"/>
                <c:pt idx="1">
                  <c:v>1</c:v>
                </c:pt>
              </c:numCache>
            </c:numRef>
          </c:val>
          <c:extLst>
            <c:ext xmlns:c16="http://schemas.microsoft.com/office/drawing/2014/chart" uri="{C3380CC4-5D6E-409C-BE32-E72D297353CC}">
              <c16:uniqueId val="{00000007-4B44-4990-83DD-4FB35B53798C}"/>
            </c:ext>
          </c:extLst>
        </c:ser>
        <c:ser>
          <c:idx val="8"/>
          <c:order val="8"/>
          <c:tx>
            <c:strRef>
              <c:f>'[08ogsu.xlsx]g2-2'!$J$23</c:f>
              <c:strCache>
                <c:ptCount val="1"/>
                <c:pt idx="0">
                  <c:v>GRC</c:v>
                </c:pt>
              </c:strCache>
            </c:strRef>
          </c:tx>
          <c:invertIfNegative val="0"/>
          <c:dLbls>
            <c:spPr>
              <a:noFill/>
              <a:ln w="25400">
                <a:noFill/>
              </a:ln>
            </c:sp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'[08ogsu.xlsx]g2-2'!$A$24:$A$27</c:f>
              <c:strCache>
                <c:ptCount val="4"/>
                <c:pt idx="0">
                  <c:v>24 hours or less</c:v>
                </c:pt>
                <c:pt idx="1">
                  <c:v>1-3 days</c:v>
                </c:pt>
                <c:pt idx="2">
                  <c:v>3-7 days</c:v>
                </c:pt>
                <c:pt idx="3">
                  <c:v>Other</c:v>
                </c:pt>
              </c:strCache>
            </c:strRef>
          </c:cat>
          <c:val>
            <c:numRef>
              <c:f>'[08ogsu.xlsx]g2-2'!$J$24:$J$27</c:f>
              <c:numCache>
                <c:formatCode>General</c:formatCode>
                <c:ptCount val="4"/>
              </c:numCache>
            </c:numRef>
          </c:val>
          <c:extLst>
            <c:ext xmlns:c16="http://schemas.microsoft.com/office/drawing/2014/chart" uri="{C3380CC4-5D6E-409C-BE32-E72D297353CC}">
              <c16:uniqueId val="{00000008-4B44-4990-83DD-4FB35B53798C}"/>
            </c:ext>
          </c:extLst>
        </c:ser>
        <c:ser>
          <c:idx val="9"/>
          <c:order val="9"/>
          <c:tx>
            <c:strRef>
              <c:f>'[08ogsu.xlsx]g2-2'!$K$23</c:f>
              <c:strCache>
                <c:ptCount val="1"/>
                <c:pt idx="0">
                  <c:v>ISL</c:v>
                </c:pt>
              </c:strCache>
            </c:strRef>
          </c:tx>
          <c:spPr>
            <a:solidFill>
              <a:srgbClr val="5B9BD5">
                <a:lumMod val="60000"/>
                <a:lumOff val="40000"/>
              </a:srgbClr>
            </a:solidFill>
            <a:ln>
              <a:solidFill>
                <a:sysClr val="windowText" lastClr="000000"/>
              </a:solidFill>
            </a:ln>
          </c:spPr>
          <c:invertIfNegative val="0"/>
          <c:dLbls>
            <c:spPr>
              <a:noFill/>
              <a:ln w="25400">
                <a:noFill/>
              </a:ln>
            </c:sp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'[08ogsu.xlsx]g2-2'!$A$24:$A$27</c:f>
              <c:strCache>
                <c:ptCount val="4"/>
                <c:pt idx="0">
                  <c:v>24 hours or less</c:v>
                </c:pt>
                <c:pt idx="1">
                  <c:v>1-3 days</c:v>
                </c:pt>
                <c:pt idx="2">
                  <c:v>3-7 days</c:v>
                </c:pt>
                <c:pt idx="3">
                  <c:v>Other</c:v>
                </c:pt>
              </c:strCache>
            </c:strRef>
          </c:cat>
          <c:val>
            <c:numRef>
              <c:f>'[08ogsu.xlsx]g2-2'!$K$24:$K$27</c:f>
              <c:numCache>
                <c:formatCode>General</c:formatCode>
                <c:ptCount val="4"/>
                <c:pt idx="1">
                  <c:v>1</c:v>
                </c:pt>
              </c:numCache>
            </c:numRef>
          </c:val>
          <c:extLst>
            <c:ext xmlns:c16="http://schemas.microsoft.com/office/drawing/2014/chart" uri="{C3380CC4-5D6E-409C-BE32-E72D297353CC}">
              <c16:uniqueId val="{00000009-4B44-4990-83DD-4FB35B53798C}"/>
            </c:ext>
          </c:extLst>
        </c:ser>
        <c:ser>
          <c:idx val="10"/>
          <c:order val="10"/>
          <c:tx>
            <c:strRef>
              <c:f>'[08ogsu.xlsx]g2-2'!$L$23</c:f>
              <c:strCache>
                <c:ptCount val="1"/>
                <c:pt idx="0">
                  <c:v>IRL</c:v>
                </c:pt>
              </c:strCache>
            </c:strRef>
          </c:tx>
          <c:spPr>
            <a:solidFill>
              <a:sysClr val="window" lastClr="FFFFFF">
                <a:lumMod val="75000"/>
              </a:sysClr>
            </a:solidFill>
            <a:ln>
              <a:solidFill>
                <a:sysClr val="windowText" lastClr="000000"/>
              </a:solidFill>
            </a:ln>
          </c:spPr>
          <c:invertIfNegative val="0"/>
          <c:dLbls>
            <c:spPr>
              <a:noFill/>
              <a:ln w="25400">
                <a:noFill/>
              </a:ln>
            </c:sp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'[08ogsu.xlsx]g2-2'!$A$24:$A$27</c:f>
              <c:strCache>
                <c:ptCount val="4"/>
                <c:pt idx="0">
                  <c:v>24 hours or less</c:v>
                </c:pt>
                <c:pt idx="1">
                  <c:v>1-3 days</c:v>
                </c:pt>
                <c:pt idx="2">
                  <c:v>3-7 days</c:v>
                </c:pt>
                <c:pt idx="3">
                  <c:v>Other</c:v>
                </c:pt>
              </c:strCache>
            </c:strRef>
          </c:cat>
          <c:val>
            <c:numRef>
              <c:f>'[08ogsu.xlsx]g2-2'!$L$24:$L$27</c:f>
              <c:numCache>
                <c:formatCode>General</c:formatCode>
                <c:ptCount val="4"/>
                <c:pt idx="3">
                  <c:v>1</c:v>
                </c:pt>
              </c:numCache>
            </c:numRef>
          </c:val>
          <c:extLst>
            <c:ext xmlns:c16="http://schemas.microsoft.com/office/drawing/2014/chart" uri="{C3380CC4-5D6E-409C-BE32-E72D297353CC}">
              <c16:uniqueId val="{0000000A-4B44-4990-83DD-4FB35B53798C}"/>
            </c:ext>
          </c:extLst>
        </c:ser>
        <c:ser>
          <c:idx val="11"/>
          <c:order val="11"/>
          <c:tx>
            <c:strRef>
              <c:f>'[08ogsu.xlsx]g2-2'!$M$23</c:f>
              <c:strCache>
                <c:ptCount val="1"/>
                <c:pt idx="0">
                  <c:v>ISR</c:v>
                </c:pt>
              </c:strCache>
            </c:strRef>
          </c:tx>
          <c:spPr>
            <a:solidFill>
              <a:srgbClr val="5B9BD5">
                <a:lumMod val="50000"/>
              </a:srgbClr>
            </a:solidFill>
            <a:ln>
              <a:solidFill>
                <a:sysClr val="windowText" lastClr="000000"/>
              </a:solidFill>
            </a:ln>
          </c:spPr>
          <c:invertIfNegative val="0"/>
          <c:dLbls>
            <c:spPr>
              <a:noFill/>
              <a:ln w="25400">
                <a:noFill/>
              </a:ln>
            </c:sp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'[08ogsu.xlsx]g2-2'!$A$24:$A$27</c:f>
              <c:strCache>
                <c:ptCount val="4"/>
                <c:pt idx="0">
                  <c:v>24 hours or less</c:v>
                </c:pt>
                <c:pt idx="1">
                  <c:v>1-3 days</c:v>
                </c:pt>
                <c:pt idx="2">
                  <c:v>3-7 days</c:v>
                </c:pt>
                <c:pt idx="3">
                  <c:v>Other</c:v>
                </c:pt>
              </c:strCache>
            </c:strRef>
          </c:cat>
          <c:val>
            <c:numRef>
              <c:f>'[08ogsu.xlsx]g2-2'!$M$24:$M$27</c:f>
              <c:numCache>
                <c:formatCode>General</c:formatCode>
                <c:ptCount val="4"/>
                <c:pt idx="2">
                  <c:v>1</c:v>
                </c:pt>
              </c:numCache>
            </c:numRef>
          </c:val>
          <c:extLst>
            <c:ext xmlns:c16="http://schemas.microsoft.com/office/drawing/2014/chart" uri="{C3380CC4-5D6E-409C-BE32-E72D297353CC}">
              <c16:uniqueId val="{0000000B-4B44-4990-83DD-4FB35B53798C}"/>
            </c:ext>
          </c:extLst>
        </c:ser>
        <c:ser>
          <c:idx val="12"/>
          <c:order val="12"/>
          <c:tx>
            <c:strRef>
              <c:f>'[08ogsu.xlsx]g2-2'!$N$23</c:f>
              <c:strCache>
                <c:ptCount val="1"/>
                <c:pt idx="0">
                  <c:v>ITA</c:v>
                </c:pt>
              </c:strCache>
            </c:strRef>
          </c:tx>
          <c:invertIfNegative val="0"/>
          <c:dLbls>
            <c:spPr>
              <a:noFill/>
              <a:ln w="25400">
                <a:noFill/>
              </a:ln>
            </c:sp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'[08ogsu.xlsx]g2-2'!$A$24:$A$27</c:f>
              <c:strCache>
                <c:ptCount val="4"/>
                <c:pt idx="0">
                  <c:v>24 hours or less</c:v>
                </c:pt>
                <c:pt idx="1">
                  <c:v>1-3 days</c:v>
                </c:pt>
                <c:pt idx="2">
                  <c:v>3-7 days</c:v>
                </c:pt>
                <c:pt idx="3">
                  <c:v>Other</c:v>
                </c:pt>
              </c:strCache>
            </c:strRef>
          </c:cat>
          <c:val>
            <c:numRef>
              <c:f>'[08ogsu.xlsx]g2-2'!$N$24:$N$27</c:f>
              <c:numCache>
                <c:formatCode>General</c:formatCode>
                <c:ptCount val="4"/>
              </c:numCache>
            </c:numRef>
          </c:val>
          <c:extLst>
            <c:ext xmlns:c16="http://schemas.microsoft.com/office/drawing/2014/chart" uri="{C3380CC4-5D6E-409C-BE32-E72D297353CC}">
              <c16:uniqueId val="{0000000C-4B44-4990-83DD-4FB35B53798C}"/>
            </c:ext>
          </c:extLst>
        </c:ser>
        <c:ser>
          <c:idx val="13"/>
          <c:order val="13"/>
          <c:tx>
            <c:strRef>
              <c:f>'[08ogsu.xlsx]g2-2'!$O$23</c:f>
              <c:strCache>
                <c:ptCount val="1"/>
                <c:pt idx="0">
                  <c:v>JPN</c:v>
                </c:pt>
              </c:strCache>
            </c:strRef>
          </c:tx>
          <c:spPr>
            <a:solidFill>
              <a:sysClr val="window" lastClr="FFFFFF">
                <a:lumMod val="75000"/>
              </a:sysClr>
            </a:solidFill>
            <a:ln>
              <a:solidFill>
                <a:sysClr val="windowText" lastClr="000000"/>
              </a:solidFill>
            </a:ln>
          </c:spPr>
          <c:invertIfNegative val="0"/>
          <c:dLbls>
            <c:dLbl>
              <c:idx val="3"/>
              <c:tx>
                <c:rich>
                  <a:bodyPr/>
                  <a:lstStyle/>
                  <a:p>
                    <a:r>
                      <a:rPr lang="en-US" b="1"/>
                      <a:t>GRC</a:t>
                    </a:r>
                  </a:p>
                </c:rich>
              </c:tx>
              <c:dLblPos val="ct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0D-4B44-4990-83DD-4FB35B53798C}"/>
                </c:ext>
              </c:extLst>
            </c:dLbl>
            <c:spPr>
              <a:noFill/>
              <a:ln w="25400">
                <a:noFill/>
              </a:ln>
            </c:sp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'[08ogsu.xlsx]g2-2'!$A$24:$A$27</c:f>
              <c:strCache>
                <c:ptCount val="4"/>
                <c:pt idx="0">
                  <c:v>24 hours or less</c:v>
                </c:pt>
                <c:pt idx="1">
                  <c:v>1-3 days</c:v>
                </c:pt>
                <c:pt idx="2">
                  <c:v>3-7 days</c:v>
                </c:pt>
                <c:pt idx="3">
                  <c:v>Other</c:v>
                </c:pt>
              </c:strCache>
            </c:strRef>
          </c:cat>
          <c:val>
            <c:numRef>
              <c:f>'[08ogsu.xlsx]g2-2'!$O$24:$O$27</c:f>
              <c:numCache>
                <c:formatCode>General</c:formatCode>
                <c:ptCount val="4"/>
                <c:pt idx="3">
                  <c:v>1</c:v>
                </c:pt>
              </c:numCache>
            </c:numRef>
          </c:val>
          <c:extLst>
            <c:ext xmlns:c16="http://schemas.microsoft.com/office/drawing/2014/chart" uri="{C3380CC4-5D6E-409C-BE32-E72D297353CC}">
              <c16:uniqueId val="{0000000E-4B44-4990-83DD-4FB35B53798C}"/>
            </c:ext>
          </c:extLst>
        </c:ser>
        <c:ser>
          <c:idx val="14"/>
          <c:order val="14"/>
          <c:tx>
            <c:strRef>
              <c:f>'[08ogsu.xlsx]g2-2'!$P$23</c:f>
              <c:strCache>
                <c:ptCount val="1"/>
                <c:pt idx="0">
                  <c:v>KOR</c:v>
                </c:pt>
              </c:strCache>
            </c:strRef>
          </c:tx>
          <c:spPr>
            <a:solidFill>
              <a:srgbClr val="5B9BD5">
                <a:lumMod val="60000"/>
                <a:lumOff val="40000"/>
              </a:srgbClr>
            </a:solidFill>
            <a:ln>
              <a:solidFill>
                <a:sysClr val="windowText" lastClr="000000"/>
              </a:solidFill>
            </a:ln>
          </c:spPr>
          <c:invertIfNegative val="0"/>
          <c:dLbls>
            <c:spPr>
              <a:noFill/>
              <a:ln w="25400">
                <a:noFill/>
              </a:ln>
            </c:sp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'[08ogsu.xlsx]g2-2'!$A$24:$A$27</c:f>
              <c:strCache>
                <c:ptCount val="4"/>
                <c:pt idx="0">
                  <c:v>24 hours or less</c:v>
                </c:pt>
                <c:pt idx="1">
                  <c:v>1-3 days</c:v>
                </c:pt>
                <c:pt idx="2">
                  <c:v>3-7 days</c:v>
                </c:pt>
                <c:pt idx="3">
                  <c:v>Other</c:v>
                </c:pt>
              </c:strCache>
            </c:strRef>
          </c:cat>
          <c:val>
            <c:numRef>
              <c:f>'[08ogsu.xlsx]g2-2'!$P$24:$P$27</c:f>
              <c:numCache>
                <c:formatCode>General</c:formatCode>
                <c:ptCount val="4"/>
                <c:pt idx="1">
                  <c:v>1</c:v>
                </c:pt>
              </c:numCache>
            </c:numRef>
          </c:val>
          <c:extLst>
            <c:ext xmlns:c16="http://schemas.microsoft.com/office/drawing/2014/chart" uri="{C3380CC4-5D6E-409C-BE32-E72D297353CC}">
              <c16:uniqueId val="{0000000F-4B44-4990-83DD-4FB35B53798C}"/>
            </c:ext>
          </c:extLst>
        </c:ser>
        <c:ser>
          <c:idx val="15"/>
          <c:order val="15"/>
          <c:tx>
            <c:strRef>
              <c:f>'[08ogsu.xlsx]g2-2'!$Q$23</c:f>
              <c:strCache>
                <c:ptCount val="1"/>
                <c:pt idx="0">
                  <c:v>LVA</c:v>
                </c:pt>
              </c:strCache>
            </c:strRef>
          </c:tx>
          <c:spPr>
            <a:solidFill>
              <a:srgbClr val="5B9BD5">
                <a:lumMod val="60000"/>
                <a:lumOff val="40000"/>
              </a:srgbClr>
            </a:solidFill>
            <a:ln>
              <a:solidFill>
                <a:sysClr val="windowText" lastClr="000000"/>
              </a:solidFill>
            </a:ln>
          </c:spPr>
          <c:invertIfNegative val="0"/>
          <c:dLbls>
            <c:spPr>
              <a:noFill/>
              <a:ln w="25400">
                <a:noFill/>
              </a:ln>
            </c:sp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'[08ogsu.xlsx]g2-2'!$A$24:$A$27</c:f>
              <c:strCache>
                <c:ptCount val="4"/>
                <c:pt idx="0">
                  <c:v>24 hours or less</c:v>
                </c:pt>
                <c:pt idx="1">
                  <c:v>1-3 days</c:v>
                </c:pt>
                <c:pt idx="2">
                  <c:v>3-7 days</c:v>
                </c:pt>
                <c:pt idx="3">
                  <c:v>Other</c:v>
                </c:pt>
              </c:strCache>
            </c:strRef>
          </c:cat>
          <c:val>
            <c:numRef>
              <c:f>'[08ogsu.xlsx]g2-2'!$Q$24:$Q$27</c:f>
              <c:numCache>
                <c:formatCode>General</c:formatCode>
                <c:ptCount val="4"/>
                <c:pt idx="1">
                  <c:v>1</c:v>
                </c:pt>
              </c:numCache>
            </c:numRef>
          </c:val>
          <c:extLst>
            <c:ext xmlns:c16="http://schemas.microsoft.com/office/drawing/2014/chart" uri="{C3380CC4-5D6E-409C-BE32-E72D297353CC}">
              <c16:uniqueId val="{00000010-4B44-4990-83DD-4FB35B53798C}"/>
            </c:ext>
          </c:extLst>
        </c:ser>
        <c:ser>
          <c:idx val="16"/>
          <c:order val="16"/>
          <c:tx>
            <c:strRef>
              <c:f>'[08ogsu.xlsx]g2-2'!$R$23</c:f>
              <c:strCache>
                <c:ptCount val="1"/>
                <c:pt idx="0">
                  <c:v>LTU</c:v>
                </c:pt>
              </c:strCache>
            </c:strRef>
          </c:tx>
          <c:spPr>
            <a:solidFill>
              <a:srgbClr val="5B9BD5">
                <a:lumMod val="60000"/>
                <a:lumOff val="40000"/>
              </a:srgbClr>
            </a:solidFill>
            <a:ln>
              <a:solidFill>
                <a:sysClr val="windowText" lastClr="000000"/>
              </a:solidFill>
            </a:ln>
          </c:spPr>
          <c:invertIfNegative val="0"/>
          <c:dLbls>
            <c:spPr>
              <a:noFill/>
              <a:ln w="25400">
                <a:noFill/>
              </a:ln>
            </c:sp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'[08ogsu.xlsx]g2-2'!$A$24:$A$27</c:f>
              <c:strCache>
                <c:ptCount val="4"/>
                <c:pt idx="0">
                  <c:v>24 hours or less</c:v>
                </c:pt>
                <c:pt idx="1">
                  <c:v>1-3 days</c:v>
                </c:pt>
                <c:pt idx="2">
                  <c:v>3-7 days</c:v>
                </c:pt>
                <c:pt idx="3">
                  <c:v>Other</c:v>
                </c:pt>
              </c:strCache>
            </c:strRef>
          </c:cat>
          <c:val>
            <c:numRef>
              <c:f>'[08ogsu.xlsx]g2-2'!$R$24:$R$27</c:f>
              <c:numCache>
                <c:formatCode>General</c:formatCode>
                <c:ptCount val="4"/>
                <c:pt idx="1">
                  <c:v>1</c:v>
                </c:pt>
              </c:numCache>
            </c:numRef>
          </c:val>
          <c:extLst>
            <c:ext xmlns:c16="http://schemas.microsoft.com/office/drawing/2014/chart" uri="{C3380CC4-5D6E-409C-BE32-E72D297353CC}">
              <c16:uniqueId val="{00000011-4B44-4990-83DD-4FB35B53798C}"/>
            </c:ext>
          </c:extLst>
        </c:ser>
        <c:ser>
          <c:idx val="17"/>
          <c:order val="17"/>
          <c:tx>
            <c:strRef>
              <c:f>'[08ogsu.xlsx]g2-2'!$S$23</c:f>
              <c:strCache>
                <c:ptCount val="1"/>
                <c:pt idx="0">
                  <c:v>LUX</c:v>
                </c:pt>
              </c:strCache>
            </c:strRef>
          </c:tx>
          <c:spPr>
            <a:solidFill>
              <a:srgbClr val="5B9BD5">
                <a:lumMod val="20000"/>
                <a:lumOff val="80000"/>
              </a:srgbClr>
            </a:solidFill>
            <a:ln>
              <a:solidFill>
                <a:sysClr val="windowText" lastClr="000000"/>
              </a:solidFill>
            </a:ln>
          </c:spPr>
          <c:invertIfNegative val="0"/>
          <c:dLbls>
            <c:spPr>
              <a:noFill/>
              <a:ln w="25400">
                <a:noFill/>
              </a:ln>
            </c:sp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'[08ogsu.xlsx]g2-2'!$A$24:$A$27</c:f>
              <c:strCache>
                <c:ptCount val="4"/>
                <c:pt idx="0">
                  <c:v>24 hours or less</c:v>
                </c:pt>
                <c:pt idx="1">
                  <c:v>1-3 days</c:v>
                </c:pt>
                <c:pt idx="2">
                  <c:v>3-7 days</c:v>
                </c:pt>
                <c:pt idx="3">
                  <c:v>Other</c:v>
                </c:pt>
              </c:strCache>
            </c:strRef>
          </c:cat>
          <c:val>
            <c:numRef>
              <c:f>'[08ogsu.xlsx]g2-2'!$S$24:$S$27</c:f>
              <c:numCache>
                <c:formatCode>General</c:formatCode>
                <c:ptCount val="4"/>
                <c:pt idx="0">
                  <c:v>1</c:v>
                </c:pt>
              </c:numCache>
            </c:numRef>
          </c:val>
          <c:extLst>
            <c:ext xmlns:c16="http://schemas.microsoft.com/office/drawing/2014/chart" uri="{C3380CC4-5D6E-409C-BE32-E72D297353CC}">
              <c16:uniqueId val="{00000012-4B44-4990-83DD-4FB35B53798C}"/>
            </c:ext>
          </c:extLst>
        </c:ser>
        <c:ser>
          <c:idx val="18"/>
          <c:order val="18"/>
          <c:tx>
            <c:strRef>
              <c:f>'[08ogsu.xlsx]g2-2'!$T$23</c:f>
              <c:strCache>
                <c:ptCount val="1"/>
                <c:pt idx="0">
                  <c:v>MEX</c:v>
                </c:pt>
              </c:strCache>
            </c:strRef>
          </c:tx>
          <c:spPr>
            <a:solidFill>
              <a:srgbClr val="5B9BD5">
                <a:lumMod val="20000"/>
                <a:lumOff val="80000"/>
              </a:srgbClr>
            </a:solidFill>
            <a:ln>
              <a:solidFill>
                <a:sysClr val="windowText" lastClr="000000"/>
              </a:solidFill>
            </a:ln>
          </c:spPr>
          <c:invertIfNegative val="0"/>
          <c:dLbls>
            <c:spPr>
              <a:noFill/>
              <a:ln w="25400">
                <a:noFill/>
              </a:ln>
            </c:sp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'[08ogsu.xlsx]g2-2'!$A$24:$A$27</c:f>
              <c:strCache>
                <c:ptCount val="4"/>
                <c:pt idx="0">
                  <c:v>24 hours or less</c:v>
                </c:pt>
                <c:pt idx="1">
                  <c:v>1-3 days</c:v>
                </c:pt>
                <c:pt idx="2">
                  <c:v>3-7 days</c:v>
                </c:pt>
                <c:pt idx="3">
                  <c:v>Other</c:v>
                </c:pt>
              </c:strCache>
            </c:strRef>
          </c:cat>
          <c:val>
            <c:numRef>
              <c:f>'[08ogsu.xlsx]g2-2'!$T$24:$T$27</c:f>
              <c:numCache>
                <c:formatCode>General</c:formatCode>
                <c:ptCount val="4"/>
                <c:pt idx="0">
                  <c:v>1</c:v>
                </c:pt>
              </c:numCache>
            </c:numRef>
          </c:val>
          <c:extLst>
            <c:ext xmlns:c16="http://schemas.microsoft.com/office/drawing/2014/chart" uri="{C3380CC4-5D6E-409C-BE32-E72D297353CC}">
              <c16:uniqueId val="{00000013-4B44-4990-83DD-4FB35B53798C}"/>
            </c:ext>
          </c:extLst>
        </c:ser>
        <c:ser>
          <c:idx val="19"/>
          <c:order val="19"/>
          <c:tx>
            <c:strRef>
              <c:f>'[08ogsu.xlsx]g2-2'!$U$23</c:f>
              <c:strCache>
                <c:ptCount val="1"/>
                <c:pt idx="0">
                  <c:v>NLD</c:v>
                </c:pt>
              </c:strCache>
            </c:strRef>
          </c:tx>
          <c:spPr>
            <a:solidFill>
              <a:srgbClr val="5B9BD5">
                <a:lumMod val="60000"/>
                <a:lumOff val="40000"/>
              </a:srgbClr>
            </a:solidFill>
            <a:ln>
              <a:solidFill>
                <a:sysClr val="windowText" lastClr="000000"/>
              </a:solidFill>
            </a:ln>
          </c:spPr>
          <c:invertIfNegative val="0"/>
          <c:dLbls>
            <c:spPr>
              <a:noFill/>
              <a:ln w="25400">
                <a:noFill/>
              </a:ln>
            </c:sp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'[08ogsu.xlsx]g2-2'!$A$24:$A$27</c:f>
              <c:strCache>
                <c:ptCount val="4"/>
                <c:pt idx="0">
                  <c:v>24 hours or less</c:v>
                </c:pt>
                <c:pt idx="1">
                  <c:v>1-3 days</c:v>
                </c:pt>
                <c:pt idx="2">
                  <c:v>3-7 days</c:v>
                </c:pt>
                <c:pt idx="3">
                  <c:v>Other</c:v>
                </c:pt>
              </c:strCache>
            </c:strRef>
          </c:cat>
          <c:val>
            <c:numRef>
              <c:f>'[08ogsu.xlsx]g2-2'!$U$24:$U$27</c:f>
              <c:numCache>
                <c:formatCode>General</c:formatCode>
                <c:ptCount val="4"/>
                <c:pt idx="1">
                  <c:v>1</c:v>
                </c:pt>
              </c:numCache>
            </c:numRef>
          </c:val>
          <c:extLst>
            <c:ext xmlns:c16="http://schemas.microsoft.com/office/drawing/2014/chart" uri="{C3380CC4-5D6E-409C-BE32-E72D297353CC}">
              <c16:uniqueId val="{00000014-4B44-4990-83DD-4FB35B53798C}"/>
            </c:ext>
          </c:extLst>
        </c:ser>
        <c:ser>
          <c:idx val="20"/>
          <c:order val="20"/>
          <c:tx>
            <c:strRef>
              <c:f>'[08ogsu.xlsx]g2-2'!$V$23</c:f>
              <c:strCache>
                <c:ptCount val="1"/>
                <c:pt idx="0">
                  <c:v>NZL</c:v>
                </c:pt>
              </c:strCache>
            </c:strRef>
          </c:tx>
          <c:invertIfNegative val="0"/>
          <c:dLbls>
            <c:spPr>
              <a:noFill/>
              <a:ln w="25400">
                <a:noFill/>
              </a:ln>
            </c:sp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'[08ogsu.xlsx]g2-2'!$A$24:$A$27</c:f>
              <c:strCache>
                <c:ptCount val="4"/>
                <c:pt idx="0">
                  <c:v>24 hours or less</c:v>
                </c:pt>
                <c:pt idx="1">
                  <c:v>1-3 days</c:v>
                </c:pt>
                <c:pt idx="2">
                  <c:v>3-7 days</c:v>
                </c:pt>
                <c:pt idx="3">
                  <c:v>Other</c:v>
                </c:pt>
              </c:strCache>
            </c:strRef>
          </c:cat>
          <c:val>
            <c:numRef>
              <c:f>'[08ogsu.xlsx]g2-2'!$V$24:$V$27</c:f>
              <c:numCache>
                <c:formatCode>General</c:formatCode>
                <c:ptCount val="4"/>
              </c:numCache>
            </c:numRef>
          </c:val>
          <c:extLst>
            <c:ext xmlns:c16="http://schemas.microsoft.com/office/drawing/2014/chart" uri="{C3380CC4-5D6E-409C-BE32-E72D297353CC}">
              <c16:uniqueId val="{00000015-4B44-4990-83DD-4FB35B53798C}"/>
            </c:ext>
          </c:extLst>
        </c:ser>
        <c:ser>
          <c:idx val="21"/>
          <c:order val="21"/>
          <c:tx>
            <c:strRef>
              <c:f>'[08ogsu.xlsx]g2-2'!$W$23</c:f>
              <c:strCache>
                <c:ptCount val="1"/>
                <c:pt idx="0">
                  <c:v>NOR</c:v>
                </c:pt>
              </c:strCache>
            </c:strRef>
          </c:tx>
          <c:spPr>
            <a:solidFill>
              <a:sysClr val="window" lastClr="FFFFFF">
                <a:lumMod val="75000"/>
              </a:sysClr>
            </a:solidFill>
            <a:ln>
              <a:solidFill>
                <a:sysClr val="windowText" lastClr="000000"/>
              </a:solidFill>
            </a:ln>
          </c:spPr>
          <c:invertIfNegative val="0"/>
          <c:dLbls>
            <c:spPr>
              <a:noFill/>
              <a:ln w="25400">
                <a:noFill/>
              </a:ln>
            </c:sp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'[08ogsu.xlsx]g2-2'!$A$24:$A$27</c:f>
              <c:strCache>
                <c:ptCount val="4"/>
                <c:pt idx="0">
                  <c:v>24 hours or less</c:v>
                </c:pt>
                <c:pt idx="1">
                  <c:v>1-3 days</c:v>
                </c:pt>
                <c:pt idx="2">
                  <c:v>3-7 days</c:v>
                </c:pt>
                <c:pt idx="3">
                  <c:v>Other</c:v>
                </c:pt>
              </c:strCache>
            </c:strRef>
          </c:cat>
          <c:val>
            <c:numRef>
              <c:f>'[08ogsu.xlsx]g2-2'!$W$24:$W$27</c:f>
              <c:numCache>
                <c:formatCode>General</c:formatCode>
                <c:ptCount val="4"/>
                <c:pt idx="3">
                  <c:v>1</c:v>
                </c:pt>
              </c:numCache>
            </c:numRef>
          </c:val>
          <c:extLst>
            <c:ext xmlns:c16="http://schemas.microsoft.com/office/drawing/2014/chart" uri="{C3380CC4-5D6E-409C-BE32-E72D297353CC}">
              <c16:uniqueId val="{00000016-4B44-4990-83DD-4FB35B53798C}"/>
            </c:ext>
          </c:extLst>
        </c:ser>
        <c:ser>
          <c:idx val="22"/>
          <c:order val="22"/>
          <c:tx>
            <c:strRef>
              <c:f>'[08ogsu.xlsx]g2-2'!$X$23</c:f>
              <c:strCache>
                <c:ptCount val="1"/>
                <c:pt idx="0">
                  <c:v>POL</c:v>
                </c:pt>
              </c:strCache>
            </c:strRef>
          </c:tx>
          <c:invertIfNegative val="0"/>
          <c:dLbls>
            <c:spPr>
              <a:noFill/>
              <a:ln w="25400">
                <a:noFill/>
              </a:ln>
            </c:sp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'[08ogsu.xlsx]g2-2'!$A$24:$A$27</c:f>
              <c:strCache>
                <c:ptCount val="4"/>
                <c:pt idx="0">
                  <c:v>24 hours or less</c:v>
                </c:pt>
                <c:pt idx="1">
                  <c:v>1-3 days</c:v>
                </c:pt>
                <c:pt idx="2">
                  <c:v>3-7 days</c:v>
                </c:pt>
                <c:pt idx="3">
                  <c:v>Other</c:v>
                </c:pt>
              </c:strCache>
            </c:strRef>
          </c:cat>
          <c:val>
            <c:numRef>
              <c:f>'[08ogsu.xlsx]g2-2'!$X$24:$X$27</c:f>
              <c:numCache>
                <c:formatCode>General</c:formatCode>
                <c:ptCount val="4"/>
              </c:numCache>
            </c:numRef>
          </c:val>
          <c:extLst>
            <c:ext xmlns:c16="http://schemas.microsoft.com/office/drawing/2014/chart" uri="{C3380CC4-5D6E-409C-BE32-E72D297353CC}">
              <c16:uniqueId val="{00000017-4B44-4990-83DD-4FB35B53798C}"/>
            </c:ext>
          </c:extLst>
        </c:ser>
        <c:ser>
          <c:idx val="23"/>
          <c:order val="23"/>
          <c:tx>
            <c:strRef>
              <c:f>'[08ogsu.xlsx]g2-2'!$Y$23</c:f>
              <c:strCache>
                <c:ptCount val="1"/>
                <c:pt idx="0">
                  <c:v>SVN</c:v>
                </c:pt>
              </c:strCache>
            </c:strRef>
          </c:tx>
          <c:spPr>
            <a:solidFill>
              <a:srgbClr val="5B9BD5">
                <a:lumMod val="20000"/>
                <a:lumOff val="80000"/>
              </a:srgbClr>
            </a:solidFill>
            <a:ln>
              <a:solidFill>
                <a:sysClr val="windowText" lastClr="000000"/>
              </a:solidFill>
            </a:ln>
          </c:spPr>
          <c:invertIfNegative val="0"/>
          <c:dLbls>
            <c:spPr>
              <a:noFill/>
              <a:ln w="25400">
                <a:noFill/>
              </a:ln>
            </c:sp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'[08ogsu.xlsx]g2-2'!$A$24:$A$27</c:f>
              <c:strCache>
                <c:ptCount val="4"/>
                <c:pt idx="0">
                  <c:v>24 hours or less</c:v>
                </c:pt>
                <c:pt idx="1">
                  <c:v>1-3 days</c:v>
                </c:pt>
                <c:pt idx="2">
                  <c:v>3-7 days</c:v>
                </c:pt>
                <c:pt idx="3">
                  <c:v>Other</c:v>
                </c:pt>
              </c:strCache>
            </c:strRef>
          </c:cat>
          <c:val>
            <c:numRef>
              <c:f>'[08ogsu.xlsx]g2-2'!$Y$24:$Y$27</c:f>
              <c:numCache>
                <c:formatCode>General</c:formatCode>
                <c:ptCount val="4"/>
                <c:pt idx="0">
                  <c:v>1</c:v>
                </c:pt>
              </c:numCache>
            </c:numRef>
          </c:val>
          <c:extLst>
            <c:ext xmlns:c16="http://schemas.microsoft.com/office/drawing/2014/chart" uri="{C3380CC4-5D6E-409C-BE32-E72D297353CC}">
              <c16:uniqueId val="{00000018-4B44-4990-83DD-4FB35B53798C}"/>
            </c:ext>
          </c:extLst>
        </c:ser>
        <c:ser>
          <c:idx val="24"/>
          <c:order val="24"/>
          <c:tx>
            <c:strRef>
              <c:f>'[08ogsu.xlsx]g2-2'!$Z$23</c:f>
              <c:strCache>
                <c:ptCount val="1"/>
                <c:pt idx="0">
                  <c:v>CHE</c:v>
                </c:pt>
              </c:strCache>
            </c:strRef>
          </c:tx>
          <c:spPr>
            <a:solidFill>
              <a:srgbClr val="5B9BD5">
                <a:lumMod val="60000"/>
                <a:lumOff val="40000"/>
              </a:srgbClr>
            </a:solidFill>
            <a:ln>
              <a:solidFill>
                <a:sysClr val="windowText" lastClr="000000"/>
              </a:solidFill>
            </a:ln>
          </c:spPr>
          <c:invertIfNegative val="0"/>
          <c:dLbls>
            <c:spPr>
              <a:noFill/>
              <a:ln w="25400">
                <a:noFill/>
              </a:ln>
            </c:sp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'[08ogsu.xlsx]g2-2'!$A$24:$A$27</c:f>
              <c:strCache>
                <c:ptCount val="4"/>
                <c:pt idx="0">
                  <c:v>24 hours or less</c:v>
                </c:pt>
                <c:pt idx="1">
                  <c:v>1-3 days</c:v>
                </c:pt>
                <c:pt idx="2">
                  <c:v>3-7 days</c:v>
                </c:pt>
                <c:pt idx="3">
                  <c:v>Other</c:v>
                </c:pt>
              </c:strCache>
            </c:strRef>
          </c:cat>
          <c:val>
            <c:numRef>
              <c:f>'[08ogsu.xlsx]g2-2'!$Z$24:$Z$27</c:f>
              <c:numCache>
                <c:formatCode>General</c:formatCode>
                <c:ptCount val="4"/>
                <c:pt idx="1">
                  <c:v>1</c:v>
                </c:pt>
              </c:numCache>
            </c:numRef>
          </c:val>
          <c:extLst>
            <c:ext xmlns:c16="http://schemas.microsoft.com/office/drawing/2014/chart" uri="{C3380CC4-5D6E-409C-BE32-E72D297353CC}">
              <c16:uniqueId val="{00000019-4B44-4990-83DD-4FB35B53798C}"/>
            </c:ext>
          </c:extLst>
        </c:ser>
        <c:ser>
          <c:idx val="25"/>
          <c:order val="25"/>
          <c:tx>
            <c:strRef>
              <c:f>'[08ogsu.xlsx]g2-2'!$AA$23</c:f>
              <c:strCache>
                <c:ptCount val="1"/>
                <c:pt idx="0">
                  <c:v>TUR</c:v>
                </c:pt>
              </c:strCache>
            </c:strRef>
          </c:tx>
          <c:spPr>
            <a:solidFill>
              <a:srgbClr val="5B9BD5">
                <a:lumMod val="60000"/>
                <a:lumOff val="40000"/>
              </a:srgbClr>
            </a:solidFill>
            <a:ln>
              <a:solidFill>
                <a:sysClr val="windowText" lastClr="000000"/>
              </a:solidFill>
            </a:ln>
          </c:spPr>
          <c:invertIfNegative val="0"/>
          <c:dLbls>
            <c:spPr>
              <a:noFill/>
              <a:ln w="25400">
                <a:noFill/>
              </a:ln>
            </c:sp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'[08ogsu.xlsx]g2-2'!$A$24:$A$27</c:f>
              <c:strCache>
                <c:ptCount val="4"/>
                <c:pt idx="0">
                  <c:v>24 hours or less</c:v>
                </c:pt>
                <c:pt idx="1">
                  <c:v>1-3 days</c:v>
                </c:pt>
                <c:pt idx="2">
                  <c:v>3-7 days</c:v>
                </c:pt>
                <c:pt idx="3">
                  <c:v>Other</c:v>
                </c:pt>
              </c:strCache>
            </c:strRef>
          </c:cat>
          <c:val>
            <c:numRef>
              <c:f>'[08ogsu.xlsx]g2-2'!$AA$24:$AA$27</c:f>
              <c:numCache>
                <c:formatCode>General</c:formatCode>
                <c:ptCount val="4"/>
                <c:pt idx="1">
                  <c:v>1</c:v>
                </c:pt>
              </c:numCache>
            </c:numRef>
          </c:val>
          <c:extLst>
            <c:ext xmlns:c16="http://schemas.microsoft.com/office/drawing/2014/chart" uri="{C3380CC4-5D6E-409C-BE32-E72D297353CC}">
              <c16:uniqueId val="{0000001A-4B44-4990-83DD-4FB35B53798C}"/>
            </c:ext>
          </c:extLst>
        </c:ser>
        <c:dLbls>
          <c:showLegendKey val="0"/>
          <c:showVal val="0"/>
          <c:showCatName val="0"/>
          <c:showSerName val="0"/>
          <c:showPercent val="0"/>
          <c:showBubbleSize val="0"/>
        </c:dLbls>
        <c:gapWidth val="150"/>
        <c:overlap val="100"/>
        <c:axId val="635364656"/>
        <c:axId val="1"/>
      </c:barChart>
      <c:catAx>
        <c:axId val="635364656"/>
        <c:scaling>
          <c:orientation val="minMax"/>
        </c:scaling>
        <c:delete val="1"/>
        <c:axPos val="b"/>
        <c:majorGridlines>
          <c:spPr>
            <a:ln w="9525" cmpd="sng">
              <a:solidFill>
                <a:srgbClr val="FFFFFF"/>
              </a:solidFill>
              <a:prstDash val="solid"/>
            </a:ln>
          </c:spPr>
        </c:majorGridlines>
        <c:numFmt formatCode="General" sourceLinked="0"/>
        <c:majorTickMark val="in"/>
        <c:minorTickMark val="none"/>
        <c:tickLblPos val="low"/>
        <c:crossAx val="1"/>
        <c:crosses val="autoZero"/>
        <c:auto val="1"/>
        <c:lblAlgn val="ctr"/>
        <c:lblOffset val="0"/>
        <c:tickLblSkip val="1"/>
        <c:noMultiLvlLbl val="0"/>
      </c:catAx>
      <c:valAx>
        <c:axId val="1"/>
        <c:scaling>
          <c:orientation val="minMax"/>
        </c:scaling>
        <c:delete val="0"/>
        <c:axPos val="l"/>
        <c:majorGridlines>
          <c:spPr>
            <a:ln w="9525" cmpd="sng">
              <a:solidFill>
                <a:srgbClr val="FFFFFF"/>
              </a:solidFill>
              <a:prstDash val="solid"/>
            </a:ln>
          </c:spPr>
        </c:majorGridlines>
        <c:numFmt formatCode="General" sourceLinked="1"/>
        <c:majorTickMark val="in"/>
        <c:minorTickMark val="none"/>
        <c:tickLblPos val="nextTo"/>
        <c:spPr>
          <a:noFill/>
          <a:ln w="9525">
            <a:solidFill>
              <a:srgbClr val="000000"/>
            </a:solidFill>
            <a:prstDash val="solid"/>
          </a:ln>
          <a:extLst>
            <a:ext uri="{909E8E84-426E-40DD-AFC4-6F175D3DCCD1}">
              <a14:hiddenFill xmlns:a14="http://schemas.microsoft.com/office/drawing/2010/main">
                <a:noFill/>
              </a14:hiddenFill>
            </a:ext>
          </a:extLst>
        </c:spPr>
        <c:txPr>
          <a:bodyPr rot="-60000000" vert="horz"/>
          <a:lstStyle/>
          <a:p>
            <a:pPr>
              <a:defRPr sz="750" b="0" i="0">
                <a:solidFill>
                  <a:srgbClr val="000000"/>
                </a:solidFill>
                <a:latin typeface="Arial Narrow"/>
                <a:ea typeface="Arial Narrow"/>
                <a:cs typeface="Arial Narrow"/>
              </a:defRPr>
            </a:pPr>
            <a:endParaRPr lang="el-GR"/>
          </a:p>
        </c:txPr>
        <c:crossAx val="635364656"/>
        <c:crosses val="autoZero"/>
        <c:crossBetween val="between"/>
      </c:valAx>
      <c:spPr>
        <a:solidFill>
          <a:srgbClr val="EAEAEA"/>
        </a:solidFill>
        <a:ln w="25400">
          <a:noFill/>
        </a:ln>
      </c:spPr>
    </c:plotArea>
    <c:plotVisOnly val="1"/>
    <c:dispBlanksAs val="gap"/>
    <c:showDLblsOverMax val="1"/>
  </c:chart>
  <c:spPr>
    <a:noFill/>
    <a:ln w="9525">
      <a:noFill/>
    </a:ln>
  </c:spPr>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l-G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4.3841317891419082E-2"/>
          <c:y val="4.0776738845144357E-2"/>
          <c:w val="0.93267898161305141"/>
          <c:h val="0.94447506561679795"/>
        </c:manualLayout>
      </c:layout>
      <c:barChart>
        <c:barDir val="col"/>
        <c:grouping val="stacked"/>
        <c:varyColors val="0"/>
        <c:ser>
          <c:idx val="0"/>
          <c:order val="0"/>
          <c:tx>
            <c:strRef>
              <c:f>'[bht4ur.xlsx]g3-16'!$B$24</c:f>
              <c:strCache>
                <c:ptCount val="1"/>
                <c:pt idx="0">
                  <c:v>AUS</c:v>
                </c:pt>
              </c:strCache>
            </c:strRef>
          </c:tx>
          <c:spPr>
            <a:solidFill>
              <a:schemeClr val="accent1">
                <a:lumMod val="40000"/>
                <a:lumOff val="60000"/>
              </a:schemeClr>
            </a:solidFill>
            <a:ln>
              <a:solidFill>
                <a:sysClr val="windowText" lastClr="000000"/>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'[bht4ur.xlsx]g3-16'!$A$25:$A$28</c:f>
              <c:strCache>
                <c:ptCount val="4"/>
                <c:pt idx="0">
                  <c:v>Yes, all primary practitioners provide</c:v>
                </c:pt>
                <c:pt idx="1">
                  <c:v>Yes, some primary practitioners provide</c:v>
                </c:pt>
                <c:pt idx="2">
                  <c:v>Yes, a few primary practitioners</c:v>
                </c:pt>
                <c:pt idx="3">
                  <c:v>No</c:v>
                </c:pt>
              </c:strCache>
            </c:strRef>
          </c:cat>
          <c:val>
            <c:numRef>
              <c:f>'[bht4ur.xlsx]g3-16'!$B$25:$B$28</c:f>
              <c:numCache>
                <c:formatCode>General</c:formatCode>
                <c:ptCount val="4"/>
                <c:pt idx="1">
                  <c:v>1</c:v>
                </c:pt>
              </c:numCache>
            </c:numRef>
          </c:val>
          <c:extLst>
            <c:ext xmlns:c16="http://schemas.microsoft.com/office/drawing/2014/chart" uri="{C3380CC4-5D6E-409C-BE32-E72D297353CC}">
              <c16:uniqueId val="{00000000-A201-4901-B55B-E84307EF56E7}"/>
            </c:ext>
          </c:extLst>
        </c:ser>
        <c:ser>
          <c:idx val="1"/>
          <c:order val="1"/>
          <c:tx>
            <c:strRef>
              <c:f>'[bht4ur.xlsx]g3-16'!$C$24</c:f>
              <c:strCache>
                <c:ptCount val="1"/>
                <c:pt idx="0">
                  <c:v>AUT</c:v>
                </c:pt>
              </c:strCache>
            </c:strRef>
          </c:tx>
          <c:spPr>
            <a:solidFill>
              <a:schemeClr val="accent1">
                <a:lumMod val="40000"/>
                <a:lumOff val="60000"/>
              </a:schemeClr>
            </a:solidFill>
            <a:ln>
              <a:solidFill>
                <a:sysClr val="windowText" lastClr="000000"/>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'[bht4ur.xlsx]g3-16'!$A$25:$A$28</c:f>
              <c:strCache>
                <c:ptCount val="4"/>
                <c:pt idx="0">
                  <c:v>Yes, all primary practitioners provide</c:v>
                </c:pt>
                <c:pt idx="1">
                  <c:v>Yes, some primary practitioners provide</c:v>
                </c:pt>
                <c:pt idx="2">
                  <c:v>Yes, a few primary practitioners</c:v>
                </c:pt>
                <c:pt idx="3">
                  <c:v>No</c:v>
                </c:pt>
              </c:strCache>
            </c:strRef>
          </c:cat>
          <c:val>
            <c:numRef>
              <c:f>'[bht4ur.xlsx]g3-16'!$C$25:$C$28</c:f>
              <c:numCache>
                <c:formatCode>General</c:formatCode>
                <c:ptCount val="4"/>
                <c:pt idx="1">
                  <c:v>1</c:v>
                </c:pt>
              </c:numCache>
            </c:numRef>
          </c:val>
          <c:extLst>
            <c:ext xmlns:c16="http://schemas.microsoft.com/office/drawing/2014/chart" uri="{C3380CC4-5D6E-409C-BE32-E72D297353CC}">
              <c16:uniqueId val="{00000001-A201-4901-B55B-E84307EF56E7}"/>
            </c:ext>
          </c:extLst>
        </c:ser>
        <c:ser>
          <c:idx val="2"/>
          <c:order val="2"/>
          <c:tx>
            <c:strRef>
              <c:f>'[bht4ur.xlsx]g3-16'!$D$24</c:f>
              <c:strCache>
                <c:ptCount val="1"/>
                <c:pt idx="0">
                  <c:v>BEL</c:v>
                </c:pt>
              </c:strCache>
            </c:strRef>
          </c:tx>
          <c:spPr>
            <a:solidFill>
              <a:schemeClr val="accent1">
                <a:lumMod val="40000"/>
                <a:lumOff val="60000"/>
              </a:schemeClr>
            </a:solidFill>
            <a:ln>
              <a:solidFill>
                <a:sysClr val="windowText" lastClr="000000"/>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'[bht4ur.xlsx]g3-16'!$A$25:$A$28</c:f>
              <c:strCache>
                <c:ptCount val="4"/>
                <c:pt idx="0">
                  <c:v>Yes, all primary practitioners provide</c:v>
                </c:pt>
                <c:pt idx="1">
                  <c:v>Yes, some primary practitioners provide</c:v>
                </c:pt>
                <c:pt idx="2">
                  <c:v>Yes, a few primary practitioners</c:v>
                </c:pt>
                <c:pt idx="3">
                  <c:v>No</c:v>
                </c:pt>
              </c:strCache>
            </c:strRef>
          </c:cat>
          <c:val>
            <c:numRef>
              <c:f>'[bht4ur.xlsx]g3-16'!$D$25:$D$28</c:f>
              <c:numCache>
                <c:formatCode>General</c:formatCode>
                <c:ptCount val="4"/>
                <c:pt idx="1">
                  <c:v>1</c:v>
                </c:pt>
              </c:numCache>
            </c:numRef>
          </c:val>
          <c:extLst>
            <c:ext xmlns:c16="http://schemas.microsoft.com/office/drawing/2014/chart" uri="{C3380CC4-5D6E-409C-BE32-E72D297353CC}">
              <c16:uniqueId val="{00000002-A201-4901-B55B-E84307EF56E7}"/>
            </c:ext>
          </c:extLst>
        </c:ser>
        <c:ser>
          <c:idx val="3"/>
          <c:order val="3"/>
          <c:tx>
            <c:strRef>
              <c:f>'[bht4ur.xlsx]g3-16'!$E$24</c:f>
              <c:strCache>
                <c:ptCount val="1"/>
                <c:pt idx="0">
                  <c:v>CAN</c:v>
                </c:pt>
              </c:strCache>
            </c:strRef>
          </c:tx>
          <c:spPr>
            <a:solidFill>
              <a:schemeClr val="accent1">
                <a:lumMod val="40000"/>
                <a:lumOff val="60000"/>
              </a:schemeClr>
            </a:solidFill>
            <a:ln>
              <a:solidFill>
                <a:sysClr val="windowText" lastClr="000000"/>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'[bht4ur.xlsx]g3-16'!$A$25:$A$28</c:f>
              <c:strCache>
                <c:ptCount val="4"/>
                <c:pt idx="0">
                  <c:v>Yes, all primary practitioners provide</c:v>
                </c:pt>
                <c:pt idx="1">
                  <c:v>Yes, some primary practitioners provide</c:v>
                </c:pt>
                <c:pt idx="2">
                  <c:v>Yes, a few primary practitioners</c:v>
                </c:pt>
                <c:pt idx="3">
                  <c:v>No</c:v>
                </c:pt>
              </c:strCache>
            </c:strRef>
          </c:cat>
          <c:val>
            <c:numRef>
              <c:f>'[bht4ur.xlsx]g3-16'!$E$25:$E$28</c:f>
              <c:numCache>
                <c:formatCode>General</c:formatCode>
                <c:ptCount val="4"/>
                <c:pt idx="1">
                  <c:v>1</c:v>
                </c:pt>
              </c:numCache>
            </c:numRef>
          </c:val>
          <c:extLst>
            <c:ext xmlns:c16="http://schemas.microsoft.com/office/drawing/2014/chart" uri="{C3380CC4-5D6E-409C-BE32-E72D297353CC}">
              <c16:uniqueId val="{00000003-A201-4901-B55B-E84307EF56E7}"/>
            </c:ext>
          </c:extLst>
        </c:ser>
        <c:ser>
          <c:idx val="4"/>
          <c:order val="4"/>
          <c:tx>
            <c:strRef>
              <c:f>'[bht4ur.xlsx]g3-16'!$F$24</c:f>
              <c:strCache>
                <c:ptCount val="1"/>
                <c:pt idx="0">
                  <c:v>CHE</c:v>
                </c:pt>
              </c:strCache>
            </c:strRef>
          </c:tx>
          <c:spPr>
            <a:solidFill>
              <a:schemeClr val="accent1">
                <a:lumMod val="40000"/>
                <a:lumOff val="60000"/>
              </a:schemeClr>
            </a:solidFill>
            <a:ln>
              <a:solidFill>
                <a:sysClr val="windowText" lastClr="000000"/>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'[bht4ur.xlsx]g3-16'!$A$25:$A$28</c:f>
              <c:strCache>
                <c:ptCount val="4"/>
                <c:pt idx="0">
                  <c:v>Yes, all primary practitioners provide</c:v>
                </c:pt>
                <c:pt idx="1">
                  <c:v>Yes, some primary practitioners provide</c:v>
                </c:pt>
                <c:pt idx="2">
                  <c:v>Yes, a few primary practitioners</c:v>
                </c:pt>
                <c:pt idx="3">
                  <c:v>No</c:v>
                </c:pt>
              </c:strCache>
            </c:strRef>
          </c:cat>
          <c:val>
            <c:numRef>
              <c:f>'[bht4ur.xlsx]g3-16'!$F$25:$F$28</c:f>
              <c:numCache>
                <c:formatCode>General</c:formatCode>
                <c:ptCount val="4"/>
                <c:pt idx="2">
                  <c:v>1</c:v>
                </c:pt>
              </c:numCache>
            </c:numRef>
          </c:val>
          <c:extLst>
            <c:ext xmlns:c16="http://schemas.microsoft.com/office/drawing/2014/chart" uri="{C3380CC4-5D6E-409C-BE32-E72D297353CC}">
              <c16:uniqueId val="{00000004-A201-4901-B55B-E84307EF56E7}"/>
            </c:ext>
          </c:extLst>
        </c:ser>
        <c:ser>
          <c:idx val="5"/>
          <c:order val="5"/>
          <c:tx>
            <c:strRef>
              <c:f>'[bht4ur.xlsx]g3-16'!$G$24</c:f>
              <c:strCache>
                <c:ptCount val="1"/>
                <c:pt idx="0">
                  <c:v>CZE</c:v>
                </c:pt>
              </c:strCache>
            </c:strRef>
          </c:tx>
          <c:spPr>
            <a:solidFill>
              <a:schemeClr val="accent1">
                <a:lumMod val="40000"/>
                <a:lumOff val="60000"/>
              </a:schemeClr>
            </a:solidFill>
            <a:ln>
              <a:solidFill>
                <a:sysClr val="windowText" lastClr="000000"/>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'[bht4ur.xlsx]g3-16'!$A$25:$A$28</c:f>
              <c:strCache>
                <c:ptCount val="4"/>
                <c:pt idx="0">
                  <c:v>Yes, all primary practitioners provide</c:v>
                </c:pt>
                <c:pt idx="1">
                  <c:v>Yes, some primary practitioners provide</c:v>
                </c:pt>
                <c:pt idx="2">
                  <c:v>Yes, a few primary practitioners</c:v>
                </c:pt>
                <c:pt idx="3">
                  <c:v>No</c:v>
                </c:pt>
              </c:strCache>
            </c:strRef>
          </c:cat>
          <c:val>
            <c:numRef>
              <c:f>'[bht4ur.xlsx]g3-16'!$G$25:$G$28</c:f>
              <c:numCache>
                <c:formatCode>General</c:formatCode>
                <c:ptCount val="4"/>
                <c:pt idx="3">
                  <c:v>1</c:v>
                </c:pt>
              </c:numCache>
            </c:numRef>
          </c:val>
          <c:extLst>
            <c:ext xmlns:c16="http://schemas.microsoft.com/office/drawing/2014/chart" uri="{C3380CC4-5D6E-409C-BE32-E72D297353CC}">
              <c16:uniqueId val="{00000005-A201-4901-B55B-E84307EF56E7}"/>
            </c:ext>
          </c:extLst>
        </c:ser>
        <c:ser>
          <c:idx val="6"/>
          <c:order val="6"/>
          <c:tx>
            <c:strRef>
              <c:f>'[bht4ur.xlsx]g3-16'!$H$24</c:f>
              <c:strCache>
                <c:ptCount val="1"/>
                <c:pt idx="0">
                  <c:v>DNK</c:v>
                </c:pt>
              </c:strCache>
            </c:strRef>
          </c:tx>
          <c:spPr>
            <a:solidFill>
              <a:schemeClr val="accent1">
                <a:lumMod val="40000"/>
                <a:lumOff val="60000"/>
              </a:schemeClr>
            </a:solidFill>
            <a:ln>
              <a:solidFill>
                <a:schemeClr val="tx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'[bht4ur.xlsx]g3-16'!$A$25:$A$28</c:f>
              <c:strCache>
                <c:ptCount val="4"/>
                <c:pt idx="0">
                  <c:v>Yes, all primary practitioners provide</c:v>
                </c:pt>
                <c:pt idx="1">
                  <c:v>Yes, some primary practitioners provide</c:v>
                </c:pt>
                <c:pt idx="2">
                  <c:v>Yes, a few primary practitioners</c:v>
                </c:pt>
                <c:pt idx="3">
                  <c:v>No</c:v>
                </c:pt>
              </c:strCache>
            </c:strRef>
          </c:cat>
          <c:val>
            <c:numRef>
              <c:f>'[bht4ur.xlsx]g3-16'!$H$25:$H$28</c:f>
              <c:numCache>
                <c:formatCode>General</c:formatCode>
                <c:ptCount val="4"/>
                <c:pt idx="1">
                  <c:v>1</c:v>
                </c:pt>
              </c:numCache>
            </c:numRef>
          </c:val>
          <c:extLst>
            <c:ext xmlns:c16="http://schemas.microsoft.com/office/drawing/2014/chart" uri="{C3380CC4-5D6E-409C-BE32-E72D297353CC}">
              <c16:uniqueId val="{00000006-A201-4901-B55B-E84307EF56E7}"/>
            </c:ext>
          </c:extLst>
        </c:ser>
        <c:ser>
          <c:idx val="7"/>
          <c:order val="7"/>
          <c:tx>
            <c:strRef>
              <c:f>'[bht4ur.xlsx]g3-16'!$I$24</c:f>
              <c:strCache>
                <c:ptCount val="1"/>
                <c:pt idx="0">
                  <c:v>EST</c:v>
                </c:pt>
              </c:strCache>
            </c:strRef>
          </c:tx>
          <c:spPr>
            <a:solidFill>
              <a:schemeClr val="accent1">
                <a:lumMod val="40000"/>
                <a:lumOff val="60000"/>
              </a:schemeClr>
            </a:solidFill>
            <a:ln>
              <a:solidFill>
                <a:sysClr val="windowText" lastClr="000000"/>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'[bht4ur.xlsx]g3-16'!$A$25:$A$28</c:f>
              <c:strCache>
                <c:ptCount val="4"/>
                <c:pt idx="0">
                  <c:v>Yes, all primary practitioners provide</c:v>
                </c:pt>
                <c:pt idx="1">
                  <c:v>Yes, some primary practitioners provide</c:v>
                </c:pt>
                <c:pt idx="2">
                  <c:v>Yes, a few primary practitioners</c:v>
                </c:pt>
                <c:pt idx="3">
                  <c:v>No</c:v>
                </c:pt>
              </c:strCache>
            </c:strRef>
          </c:cat>
          <c:val>
            <c:numRef>
              <c:f>'[bht4ur.xlsx]g3-16'!$I$25:$I$28</c:f>
              <c:numCache>
                <c:formatCode>General</c:formatCode>
                <c:ptCount val="4"/>
                <c:pt idx="0">
                  <c:v>1</c:v>
                </c:pt>
              </c:numCache>
            </c:numRef>
          </c:val>
          <c:extLst>
            <c:ext xmlns:c16="http://schemas.microsoft.com/office/drawing/2014/chart" uri="{C3380CC4-5D6E-409C-BE32-E72D297353CC}">
              <c16:uniqueId val="{00000007-A201-4901-B55B-E84307EF56E7}"/>
            </c:ext>
          </c:extLst>
        </c:ser>
        <c:ser>
          <c:idx val="8"/>
          <c:order val="8"/>
          <c:tx>
            <c:strRef>
              <c:f>'[bht4ur.xlsx]g3-16'!$J$24</c:f>
              <c:strCache>
                <c:ptCount val="1"/>
                <c:pt idx="0">
                  <c:v>GBR</c:v>
                </c:pt>
              </c:strCache>
            </c:strRef>
          </c:tx>
          <c:spPr>
            <a:solidFill>
              <a:schemeClr val="accent1">
                <a:lumMod val="40000"/>
                <a:lumOff val="60000"/>
              </a:schemeClr>
            </a:solidFill>
            <a:ln>
              <a:solidFill>
                <a:sysClr val="windowText" lastClr="000000"/>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'[bht4ur.xlsx]g3-16'!$A$25:$A$28</c:f>
              <c:strCache>
                <c:ptCount val="4"/>
                <c:pt idx="0">
                  <c:v>Yes, all primary practitioners provide</c:v>
                </c:pt>
                <c:pt idx="1">
                  <c:v>Yes, some primary practitioners provide</c:v>
                </c:pt>
                <c:pt idx="2">
                  <c:v>Yes, a few primary practitioners</c:v>
                </c:pt>
                <c:pt idx="3">
                  <c:v>No</c:v>
                </c:pt>
              </c:strCache>
            </c:strRef>
          </c:cat>
          <c:val>
            <c:numRef>
              <c:f>'[bht4ur.xlsx]g3-16'!$J$25:$J$28</c:f>
              <c:numCache>
                <c:formatCode>General</c:formatCode>
                <c:ptCount val="4"/>
                <c:pt idx="1">
                  <c:v>1</c:v>
                </c:pt>
              </c:numCache>
            </c:numRef>
          </c:val>
          <c:extLst>
            <c:ext xmlns:c16="http://schemas.microsoft.com/office/drawing/2014/chart" uri="{C3380CC4-5D6E-409C-BE32-E72D297353CC}">
              <c16:uniqueId val="{00000008-A201-4901-B55B-E84307EF56E7}"/>
            </c:ext>
          </c:extLst>
        </c:ser>
        <c:ser>
          <c:idx val="9"/>
          <c:order val="9"/>
          <c:tx>
            <c:strRef>
              <c:f>'[bht4ur.xlsx]g3-16'!$K$24</c:f>
              <c:strCache>
                <c:ptCount val="1"/>
                <c:pt idx="0">
                  <c:v>GRC</c:v>
                </c:pt>
              </c:strCache>
            </c:strRef>
          </c:tx>
          <c:spPr>
            <a:solidFill>
              <a:schemeClr val="accent1">
                <a:lumMod val="40000"/>
                <a:lumOff val="60000"/>
              </a:schemeClr>
            </a:solidFill>
            <a:ln>
              <a:solidFill>
                <a:sysClr val="windowText" lastClr="000000"/>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solidFill>
                    <a:latin typeface="+mn-lt"/>
                    <a:ea typeface="+mn-ea"/>
                    <a:cs typeface="+mn-cs"/>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'[bht4ur.xlsx]g3-16'!$A$25:$A$28</c:f>
              <c:strCache>
                <c:ptCount val="4"/>
                <c:pt idx="0">
                  <c:v>Yes, all primary practitioners provide</c:v>
                </c:pt>
                <c:pt idx="1">
                  <c:v>Yes, some primary practitioners provide</c:v>
                </c:pt>
                <c:pt idx="2">
                  <c:v>Yes, a few primary practitioners</c:v>
                </c:pt>
                <c:pt idx="3">
                  <c:v>No</c:v>
                </c:pt>
              </c:strCache>
            </c:strRef>
          </c:cat>
          <c:val>
            <c:numRef>
              <c:f>'[bht4ur.xlsx]g3-16'!$K$25:$K$28</c:f>
              <c:numCache>
                <c:formatCode>General</c:formatCode>
                <c:ptCount val="4"/>
                <c:pt idx="2">
                  <c:v>1</c:v>
                </c:pt>
              </c:numCache>
            </c:numRef>
          </c:val>
          <c:extLst>
            <c:ext xmlns:c16="http://schemas.microsoft.com/office/drawing/2014/chart" uri="{C3380CC4-5D6E-409C-BE32-E72D297353CC}">
              <c16:uniqueId val="{00000009-A201-4901-B55B-E84307EF56E7}"/>
            </c:ext>
          </c:extLst>
        </c:ser>
        <c:ser>
          <c:idx val="10"/>
          <c:order val="10"/>
          <c:tx>
            <c:strRef>
              <c:f>'[bht4ur.xlsx]g3-16'!$L$24</c:f>
              <c:strCache>
                <c:ptCount val="1"/>
                <c:pt idx="0">
                  <c:v>IRL</c:v>
                </c:pt>
              </c:strCache>
            </c:strRef>
          </c:tx>
          <c:spPr>
            <a:solidFill>
              <a:schemeClr val="accent1">
                <a:lumMod val="40000"/>
                <a:lumOff val="60000"/>
              </a:schemeClr>
            </a:solidFill>
            <a:ln>
              <a:solidFill>
                <a:sysClr val="windowText" lastClr="000000"/>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'[bht4ur.xlsx]g3-16'!$A$25:$A$28</c:f>
              <c:strCache>
                <c:ptCount val="4"/>
                <c:pt idx="0">
                  <c:v>Yes, all primary practitioners provide</c:v>
                </c:pt>
                <c:pt idx="1">
                  <c:v>Yes, some primary practitioners provide</c:v>
                </c:pt>
                <c:pt idx="2">
                  <c:v>Yes, a few primary practitioners</c:v>
                </c:pt>
                <c:pt idx="3">
                  <c:v>No</c:v>
                </c:pt>
              </c:strCache>
            </c:strRef>
          </c:cat>
          <c:val>
            <c:numRef>
              <c:f>'[bht4ur.xlsx]g3-16'!$L$25:$L$28</c:f>
              <c:numCache>
                <c:formatCode>General</c:formatCode>
                <c:ptCount val="4"/>
                <c:pt idx="1">
                  <c:v>1</c:v>
                </c:pt>
              </c:numCache>
            </c:numRef>
          </c:val>
          <c:extLst>
            <c:ext xmlns:c16="http://schemas.microsoft.com/office/drawing/2014/chart" uri="{C3380CC4-5D6E-409C-BE32-E72D297353CC}">
              <c16:uniqueId val="{0000000A-A201-4901-B55B-E84307EF56E7}"/>
            </c:ext>
          </c:extLst>
        </c:ser>
        <c:ser>
          <c:idx val="11"/>
          <c:order val="11"/>
          <c:tx>
            <c:strRef>
              <c:f>'[bht4ur.xlsx]g3-16'!$M$24</c:f>
              <c:strCache>
                <c:ptCount val="1"/>
                <c:pt idx="0">
                  <c:v>ISL</c:v>
                </c:pt>
              </c:strCache>
            </c:strRef>
          </c:tx>
          <c:spPr>
            <a:solidFill>
              <a:schemeClr val="accent1">
                <a:lumMod val="40000"/>
                <a:lumOff val="60000"/>
              </a:schemeClr>
            </a:solidFill>
            <a:ln>
              <a:solidFill>
                <a:sysClr val="windowText" lastClr="000000"/>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'[bht4ur.xlsx]g3-16'!$A$25:$A$28</c:f>
              <c:strCache>
                <c:ptCount val="4"/>
                <c:pt idx="0">
                  <c:v>Yes, all primary practitioners provide</c:v>
                </c:pt>
                <c:pt idx="1">
                  <c:v>Yes, some primary practitioners provide</c:v>
                </c:pt>
                <c:pt idx="2">
                  <c:v>Yes, a few primary practitioners</c:v>
                </c:pt>
                <c:pt idx="3">
                  <c:v>No</c:v>
                </c:pt>
              </c:strCache>
            </c:strRef>
          </c:cat>
          <c:val>
            <c:numRef>
              <c:f>'[bht4ur.xlsx]g3-16'!$M$25:$M$28</c:f>
              <c:numCache>
                <c:formatCode>General</c:formatCode>
                <c:ptCount val="4"/>
                <c:pt idx="1">
                  <c:v>1</c:v>
                </c:pt>
              </c:numCache>
            </c:numRef>
          </c:val>
          <c:extLst>
            <c:ext xmlns:c16="http://schemas.microsoft.com/office/drawing/2014/chart" uri="{C3380CC4-5D6E-409C-BE32-E72D297353CC}">
              <c16:uniqueId val="{0000000B-A201-4901-B55B-E84307EF56E7}"/>
            </c:ext>
          </c:extLst>
        </c:ser>
        <c:ser>
          <c:idx val="12"/>
          <c:order val="12"/>
          <c:tx>
            <c:strRef>
              <c:f>'[bht4ur.xlsx]g3-16'!$N$24</c:f>
              <c:strCache>
                <c:ptCount val="1"/>
                <c:pt idx="0">
                  <c:v>ISR</c:v>
                </c:pt>
              </c:strCache>
            </c:strRef>
          </c:tx>
          <c:spPr>
            <a:solidFill>
              <a:schemeClr val="accent1">
                <a:lumMod val="40000"/>
                <a:lumOff val="60000"/>
              </a:schemeClr>
            </a:solidFill>
            <a:ln>
              <a:solidFill>
                <a:schemeClr val="tx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'[bht4ur.xlsx]g3-16'!$A$25:$A$28</c:f>
              <c:strCache>
                <c:ptCount val="4"/>
                <c:pt idx="0">
                  <c:v>Yes, all primary practitioners provide</c:v>
                </c:pt>
                <c:pt idx="1">
                  <c:v>Yes, some primary practitioners provide</c:v>
                </c:pt>
                <c:pt idx="2">
                  <c:v>Yes, a few primary practitioners</c:v>
                </c:pt>
                <c:pt idx="3">
                  <c:v>No</c:v>
                </c:pt>
              </c:strCache>
            </c:strRef>
          </c:cat>
          <c:val>
            <c:numRef>
              <c:f>'[bht4ur.xlsx]g3-16'!$N$25:$N$28</c:f>
              <c:numCache>
                <c:formatCode>General</c:formatCode>
                <c:ptCount val="4"/>
                <c:pt idx="3">
                  <c:v>1</c:v>
                </c:pt>
              </c:numCache>
            </c:numRef>
          </c:val>
          <c:extLst>
            <c:ext xmlns:c16="http://schemas.microsoft.com/office/drawing/2014/chart" uri="{C3380CC4-5D6E-409C-BE32-E72D297353CC}">
              <c16:uniqueId val="{0000000C-A201-4901-B55B-E84307EF56E7}"/>
            </c:ext>
          </c:extLst>
        </c:ser>
        <c:ser>
          <c:idx val="13"/>
          <c:order val="13"/>
          <c:tx>
            <c:strRef>
              <c:f>'[bht4ur.xlsx]g3-16'!$O$24</c:f>
              <c:strCache>
                <c:ptCount val="1"/>
                <c:pt idx="0">
                  <c:v>ITA</c:v>
                </c:pt>
              </c:strCache>
            </c:strRef>
          </c:tx>
          <c:spPr>
            <a:solidFill>
              <a:schemeClr val="accent1">
                <a:lumMod val="40000"/>
                <a:lumOff val="60000"/>
              </a:schemeClr>
            </a:solidFill>
            <a:ln>
              <a:solidFill>
                <a:schemeClr val="tx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'[bht4ur.xlsx]g3-16'!$A$25:$A$28</c:f>
              <c:strCache>
                <c:ptCount val="4"/>
                <c:pt idx="0">
                  <c:v>Yes, all primary practitioners provide</c:v>
                </c:pt>
                <c:pt idx="1">
                  <c:v>Yes, some primary practitioners provide</c:v>
                </c:pt>
                <c:pt idx="2">
                  <c:v>Yes, a few primary practitioners</c:v>
                </c:pt>
                <c:pt idx="3">
                  <c:v>No</c:v>
                </c:pt>
              </c:strCache>
            </c:strRef>
          </c:cat>
          <c:val>
            <c:numRef>
              <c:f>'[bht4ur.xlsx]g3-16'!$O$25:$O$28</c:f>
              <c:numCache>
                <c:formatCode>General</c:formatCode>
                <c:ptCount val="4"/>
                <c:pt idx="3">
                  <c:v>1</c:v>
                </c:pt>
              </c:numCache>
            </c:numRef>
          </c:val>
          <c:extLst>
            <c:ext xmlns:c16="http://schemas.microsoft.com/office/drawing/2014/chart" uri="{C3380CC4-5D6E-409C-BE32-E72D297353CC}">
              <c16:uniqueId val="{0000000D-A201-4901-B55B-E84307EF56E7}"/>
            </c:ext>
          </c:extLst>
        </c:ser>
        <c:ser>
          <c:idx val="14"/>
          <c:order val="14"/>
          <c:tx>
            <c:strRef>
              <c:f>'[bht4ur.xlsx]g3-16'!$P$24</c:f>
              <c:strCache>
                <c:ptCount val="1"/>
                <c:pt idx="0">
                  <c:v>JPN</c:v>
                </c:pt>
              </c:strCache>
            </c:strRef>
          </c:tx>
          <c:spPr>
            <a:solidFill>
              <a:schemeClr val="accent1">
                <a:lumMod val="40000"/>
                <a:lumOff val="60000"/>
              </a:schemeClr>
            </a:solidFill>
            <a:ln>
              <a:solidFill>
                <a:sysClr val="windowText" lastClr="000000"/>
              </a:solidFill>
            </a:ln>
            <a:effectLst/>
          </c:spPr>
          <c:invertIfNegative val="0"/>
          <c:dLbls>
            <c:dLbl>
              <c:idx val="2"/>
              <c:dLblPos val="ct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0E-A201-4901-B55B-E84307EF56E7}"/>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el-G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'[bht4ur.xlsx]g3-16'!$A$25:$A$28</c:f>
              <c:strCache>
                <c:ptCount val="4"/>
                <c:pt idx="0">
                  <c:v>Yes, all primary practitioners provide</c:v>
                </c:pt>
                <c:pt idx="1">
                  <c:v>Yes, some primary practitioners provide</c:v>
                </c:pt>
                <c:pt idx="2">
                  <c:v>Yes, a few primary practitioners</c:v>
                </c:pt>
                <c:pt idx="3">
                  <c:v>No</c:v>
                </c:pt>
              </c:strCache>
            </c:strRef>
          </c:cat>
          <c:val>
            <c:numRef>
              <c:f>'[bht4ur.xlsx]g3-16'!$P$25:$P$28</c:f>
              <c:numCache>
                <c:formatCode>General</c:formatCode>
                <c:ptCount val="4"/>
                <c:pt idx="2">
                  <c:v>1</c:v>
                </c:pt>
              </c:numCache>
            </c:numRef>
          </c:val>
          <c:extLst>
            <c:ext xmlns:c16="http://schemas.microsoft.com/office/drawing/2014/chart" uri="{C3380CC4-5D6E-409C-BE32-E72D297353CC}">
              <c16:uniqueId val="{0000000F-A201-4901-B55B-E84307EF56E7}"/>
            </c:ext>
          </c:extLst>
        </c:ser>
        <c:ser>
          <c:idx val="15"/>
          <c:order val="15"/>
          <c:tx>
            <c:strRef>
              <c:f>'[bht4ur.xlsx]g3-16'!$Q$24</c:f>
              <c:strCache>
                <c:ptCount val="1"/>
                <c:pt idx="0">
                  <c:v>LTU</c:v>
                </c:pt>
              </c:strCache>
            </c:strRef>
          </c:tx>
          <c:spPr>
            <a:solidFill>
              <a:schemeClr val="accent1">
                <a:lumMod val="40000"/>
                <a:lumOff val="60000"/>
              </a:schemeClr>
            </a:solidFill>
            <a:ln>
              <a:solidFill>
                <a:sysClr val="windowText" lastClr="000000"/>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'[bht4ur.xlsx]g3-16'!$A$25:$A$28</c:f>
              <c:strCache>
                <c:ptCount val="4"/>
                <c:pt idx="0">
                  <c:v>Yes, all primary practitioners provide</c:v>
                </c:pt>
                <c:pt idx="1">
                  <c:v>Yes, some primary practitioners provide</c:v>
                </c:pt>
                <c:pt idx="2">
                  <c:v>Yes, a few primary practitioners</c:v>
                </c:pt>
                <c:pt idx="3">
                  <c:v>No</c:v>
                </c:pt>
              </c:strCache>
            </c:strRef>
          </c:cat>
          <c:val>
            <c:numRef>
              <c:f>'[bht4ur.xlsx]g3-16'!$Q$25:$Q$28</c:f>
              <c:numCache>
                <c:formatCode>General</c:formatCode>
                <c:ptCount val="4"/>
                <c:pt idx="1">
                  <c:v>1</c:v>
                </c:pt>
              </c:numCache>
            </c:numRef>
          </c:val>
          <c:extLst>
            <c:ext xmlns:c16="http://schemas.microsoft.com/office/drawing/2014/chart" uri="{C3380CC4-5D6E-409C-BE32-E72D297353CC}">
              <c16:uniqueId val="{00000010-A201-4901-B55B-E84307EF56E7}"/>
            </c:ext>
          </c:extLst>
        </c:ser>
        <c:ser>
          <c:idx val="16"/>
          <c:order val="16"/>
          <c:tx>
            <c:strRef>
              <c:f>'[bht4ur.xlsx]g3-16'!$R$24</c:f>
              <c:strCache>
                <c:ptCount val="1"/>
                <c:pt idx="0">
                  <c:v>LUX</c:v>
                </c:pt>
              </c:strCache>
            </c:strRef>
          </c:tx>
          <c:spPr>
            <a:solidFill>
              <a:schemeClr val="accent1">
                <a:lumMod val="40000"/>
                <a:lumOff val="60000"/>
              </a:schemeClr>
            </a:solidFill>
            <a:ln>
              <a:solidFill>
                <a:sysClr val="windowText" lastClr="000000"/>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'[bht4ur.xlsx]g3-16'!$A$25:$A$28</c:f>
              <c:strCache>
                <c:ptCount val="4"/>
                <c:pt idx="0">
                  <c:v>Yes, all primary practitioners provide</c:v>
                </c:pt>
                <c:pt idx="1">
                  <c:v>Yes, some primary practitioners provide</c:v>
                </c:pt>
                <c:pt idx="2">
                  <c:v>Yes, a few primary practitioners</c:v>
                </c:pt>
                <c:pt idx="3">
                  <c:v>No</c:v>
                </c:pt>
              </c:strCache>
            </c:strRef>
          </c:cat>
          <c:val>
            <c:numRef>
              <c:f>'[bht4ur.xlsx]g3-16'!$R$25:$R$28</c:f>
              <c:numCache>
                <c:formatCode>General</c:formatCode>
                <c:ptCount val="4"/>
                <c:pt idx="2">
                  <c:v>1</c:v>
                </c:pt>
              </c:numCache>
            </c:numRef>
          </c:val>
          <c:extLst>
            <c:ext xmlns:c16="http://schemas.microsoft.com/office/drawing/2014/chart" uri="{C3380CC4-5D6E-409C-BE32-E72D297353CC}">
              <c16:uniqueId val="{00000011-A201-4901-B55B-E84307EF56E7}"/>
            </c:ext>
          </c:extLst>
        </c:ser>
        <c:ser>
          <c:idx val="17"/>
          <c:order val="17"/>
          <c:tx>
            <c:strRef>
              <c:f>'[bht4ur.xlsx]g3-16'!$S$24</c:f>
              <c:strCache>
                <c:ptCount val="1"/>
                <c:pt idx="0">
                  <c:v>LVA</c:v>
                </c:pt>
              </c:strCache>
            </c:strRef>
          </c:tx>
          <c:spPr>
            <a:solidFill>
              <a:schemeClr val="accent1">
                <a:lumMod val="40000"/>
                <a:lumOff val="60000"/>
              </a:schemeClr>
            </a:solidFill>
            <a:ln>
              <a:solidFill>
                <a:sysClr val="windowText" lastClr="000000"/>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'[bht4ur.xlsx]g3-16'!$A$25:$A$28</c:f>
              <c:strCache>
                <c:ptCount val="4"/>
                <c:pt idx="0">
                  <c:v>Yes, all primary practitioners provide</c:v>
                </c:pt>
                <c:pt idx="1">
                  <c:v>Yes, some primary practitioners provide</c:v>
                </c:pt>
                <c:pt idx="2">
                  <c:v>Yes, a few primary practitioners</c:v>
                </c:pt>
                <c:pt idx="3">
                  <c:v>No</c:v>
                </c:pt>
              </c:strCache>
            </c:strRef>
          </c:cat>
          <c:val>
            <c:numRef>
              <c:f>'[bht4ur.xlsx]g3-16'!$S$25:$S$28</c:f>
              <c:numCache>
                <c:formatCode>General</c:formatCode>
                <c:ptCount val="4"/>
                <c:pt idx="3">
                  <c:v>1</c:v>
                </c:pt>
              </c:numCache>
            </c:numRef>
          </c:val>
          <c:extLst>
            <c:ext xmlns:c16="http://schemas.microsoft.com/office/drawing/2014/chart" uri="{C3380CC4-5D6E-409C-BE32-E72D297353CC}">
              <c16:uniqueId val="{00000012-A201-4901-B55B-E84307EF56E7}"/>
            </c:ext>
          </c:extLst>
        </c:ser>
        <c:ser>
          <c:idx val="18"/>
          <c:order val="18"/>
          <c:tx>
            <c:strRef>
              <c:f>'[bht4ur.xlsx]g3-16'!$T$24</c:f>
              <c:strCache>
                <c:ptCount val="1"/>
                <c:pt idx="0">
                  <c:v>MEX</c:v>
                </c:pt>
              </c:strCache>
            </c:strRef>
          </c:tx>
          <c:spPr>
            <a:solidFill>
              <a:schemeClr val="accent1">
                <a:lumMod val="40000"/>
                <a:lumOff val="60000"/>
              </a:schemeClr>
            </a:solidFill>
            <a:ln>
              <a:solidFill>
                <a:sysClr val="windowText" lastClr="000000"/>
              </a:solidFill>
            </a:ln>
            <a:effectLst/>
          </c:spPr>
          <c:invertIfNegative val="0"/>
          <c:dLbls>
            <c:dLbl>
              <c:idx val="3"/>
              <c:dLblPos val="ct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13-A201-4901-B55B-E84307EF56E7}"/>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el-G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'[bht4ur.xlsx]g3-16'!$A$25:$A$28</c:f>
              <c:strCache>
                <c:ptCount val="4"/>
                <c:pt idx="0">
                  <c:v>Yes, all primary practitioners provide</c:v>
                </c:pt>
                <c:pt idx="1">
                  <c:v>Yes, some primary practitioners provide</c:v>
                </c:pt>
                <c:pt idx="2">
                  <c:v>Yes, a few primary practitioners</c:v>
                </c:pt>
                <c:pt idx="3">
                  <c:v>No</c:v>
                </c:pt>
              </c:strCache>
            </c:strRef>
          </c:cat>
          <c:val>
            <c:numRef>
              <c:f>'[bht4ur.xlsx]g3-16'!$T$25:$T$28</c:f>
              <c:numCache>
                <c:formatCode>General</c:formatCode>
                <c:ptCount val="4"/>
                <c:pt idx="3">
                  <c:v>1</c:v>
                </c:pt>
              </c:numCache>
            </c:numRef>
          </c:val>
          <c:extLst>
            <c:ext xmlns:c16="http://schemas.microsoft.com/office/drawing/2014/chart" uri="{C3380CC4-5D6E-409C-BE32-E72D297353CC}">
              <c16:uniqueId val="{00000014-A201-4901-B55B-E84307EF56E7}"/>
            </c:ext>
          </c:extLst>
        </c:ser>
        <c:ser>
          <c:idx val="19"/>
          <c:order val="19"/>
          <c:tx>
            <c:strRef>
              <c:f>'[bht4ur.xlsx]g3-16'!$U$24</c:f>
              <c:strCache>
                <c:ptCount val="1"/>
                <c:pt idx="0">
                  <c:v>NLD</c:v>
                </c:pt>
              </c:strCache>
            </c:strRef>
          </c:tx>
          <c:spPr>
            <a:solidFill>
              <a:schemeClr val="accent1">
                <a:lumMod val="40000"/>
                <a:lumOff val="60000"/>
              </a:schemeClr>
            </a:solidFill>
            <a:ln>
              <a:solidFill>
                <a:sysClr val="windowText" lastClr="000000"/>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'[bht4ur.xlsx]g3-16'!$A$25:$A$28</c:f>
              <c:strCache>
                <c:ptCount val="4"/>
                <c:pt idx="0">
                  <c:v>Yes, all primary practitioners provide</c:v>
                </c:pt>
                <c:pt idx="1">
                  <c:v>Yes, some primary practitioners provide</c:v>
                </c:pt>
                <c:pt idx="2">
                  <c:v>Yes, a few primary practitioners</c:v>
                </c:pt>
                <c:pt idx="3">
                  <c:v>No</c:v>
                </c:pt>
              </c:strCache>
            </c:strRef>
          </c:cat>
          <c:val>
            <c:numRef>
              <c:f>'[bht4ur.xlsx]g3-16'!$U$25:$U$28</c:f>
              <c:numCache>
                <c:formatCode>General</c:formatCode>
                <c:ptCount val="4"/>
                <c:pt idx="1">
                  <c:v>1</c:v>
                </c:pt>
              </c:numCache>
            </c:numRef>
          </c:val>
          <c:extLst>
            <c:ext xmlns:c16="http://schemas.microsoft.com/office/drawing/2014/chart" uri="{C3380CC4-5D6E-409C-BE32-E72D297353CC}">
              <c16:uniqueId val="{00000015-A201-4901-B55B-E84307EF56E7}"/>
            </c:ext>
          </c:extLst>
        </c:ser>
        <c:ser>
          <c:idx val="20"/>
          <c:order val="20"/>
          <c:tx>
            <c:strRef>
              <c:f>'[bht4ur.xlsx]g3-16'!$V$24</c:f>
              <c:strCache>
                <c:ptCount val="1"/>
                <c:pt idx="0">
                  <c:v>NOR</c:v>
                </c:pt>
              </c:strCache>
            </c:strRef>
          </c:tx>
          <c:spPr>
            <a:solidFill>
              <a:schemeClr val="accent1">
                <a:lumMod val="40000"/>
                <a:lumOff val="60000"/>
              </a:schemeClr>
            </a:solidFill>
            <a:ln>
              <a:solidFill>
                <a:sysClr val="windowText" lastClr="000000"/>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'[bht4ur.xlsx]g3-16'!$A$25:$A$28</c:f>
              <c:strCache>
                <c:ptCount val="4"/>
                <c:pt idx="0">
                  <c:v>Yes, all primary practitioners provide</c:v>
                </c:pt>
                <c:pt idx="1">
                  <c:v>Yes, some primary practitioners provide</c:v>
                </c:pt>
                <c:pt idx="2">
                  <c:v>Yes, a few primary practitioners</c:v>
                </c:pt>
                <c:pt idx="3">
                  <c:v>No</c:v>
                </c:pt>
              </c:strCache>
            </c:strRef>
          </c:cat>
          <c:val>
            <c:numRef>
              <c:f>'[bht4ur.xlsx]g3-16'!$V$25:$V$28</c:f>
              <c:numCache>
                <c:formatCode>General</c:formatCode>
                <c:ptCount val="4"/>
                <c:pt idx="0">
                  <c:v>1</c:v>
                </c:pt>
              </c:numCache>
            </c:numRef>
          </c:val>
          <c:extLst>
            <c:ext xmlns:c16="http://schemas.microsoft.com/office/drawing/2014/chart" uri="{C3380CC4-5D6E-409C-BE32-E72D297353CC}">
              <c16:uniqueId val="{00000016-A201-4901-B55B-E84307EF56E7}"/>
            </c:ext>
          </c:extLst>
        </c:ser>
        <c:ser>
          <c:idx val="21"/>
          <c:order val="21"/>
          <c:tx>
            <c:strRef>
              <c:f>'[bht4ur.xlsx]g3-16'!$W$24</c:f>
              <c:strCache>
                <c:ptCount val="1"/>
                <c:pt idx="0">
                  <c:v>NZL</c:v>
                </c:pt>
              </c:strCache>
            </c:strRef>
          </c:tx>
          <c:spPr>
            <a:solidFill>
              <a:schemeClr val="accent1">
                <a:lumMod val="40000"/>
                <a:lumOff val="60000"/>
              </a:schemeClr>
            </a:solidFill>
            <a:ln>
              <a:solidFill>
                <a:sysClr val="windowText" lastClr="000000"/>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'[bht4ur.xlsx]g3-16'!$A$25:$A$28</c:f>
              <c:strCache>
                <c:ptCount val="4"/>
                <c:pt idx="0">
                  <c:v>Yes, all primary practitioners provide</c:v>
                </c:pt>
                <c:pt idx="1">
                  <c:v>Yes, some primary practitioners provide</c:v>
                </c:pt>
                <c:pt idx="2">
                  <c:v>Yes, a few primary practitioners</c:v>
                </c:pt>
                <c:pt idx="3">
                  <c:v>No</c:v>
                </c:pt>
              </c:strCache>
            </c:strRef>
          </c:cat>
          <c:val>
            <c:numRef>
              <c:f>'[bht4ur.xlsx]g3-16'!$W$25:$W$28</c:f>
              <c:numCache>
                <c:formatCode>General</c:formatCode>
                <c:ptCount val="4"/>
                <c:pt idx="1">
                  <c:v>1</c:v>
                </c:pt>
              </c:numCache>
            </c:numRef>
          </c:val>
          <c:extLst>
            <c:ext xmlns:c16="http://schemas.microsoft.com/office/drawing/2014/chart" uri="{C3380CC4-5D6E-409C-BE32-E72D297353CC}">
              <c16:uniqueId val="{00000017-A201-4901-B55B-E84307EF56E7}"/>
            </c:ext>
          </c:extLst>
        </c:ser>
        <c:ser>
          <c:idx val="22"/>
          <c:order val="22"/>
          <c:tx>
            <c:strRef>
              <c:f>'[bht4ur.xlsx]g3-16'!$X$24</c:f>
              <c:strCache>
                <c:ptCount val="1"/>
                <c:pt idx="0">
                  <c:v>POL</c:v>
                </c:pt>
              </c:strCache>
            </c:strRef>
          </c:tx>
          <c:spPr>
            <a:solidFill>
              <a:schemeClr val="accent1">
                <a:lumMod val="40000"/>
                <a:lumOff val="60000"/>
              </a:schemeClr>
            </a:solidFill>
            <a:ln>
              <a:solidFill>
                <a:sysClr val="windowText" lastClr="000000"/>
              </a:solidFill>
            </a:ln>
            <a:effectLst/>
          </c:spPr>
          <c:invertIfNegative val="0"/>
          <c:dLbls>
            <c:dLbl>
              <c:idx val="2"/>
              <c:tx>
                <c:rich>
                  <a:bodyPr/>
                  <a:lstStyle/>
                  <a:p>
                    <a:r>
                      <a:rPr lang="en-US"/>
                      <a:t>KOR</a:t>
                    </a:r>
                  </a:p>
                </c:rich>
              </c:tx>
              <c:dLblPos val="ct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8-A201-4901-B55B-E84307EF56E7}"/>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'[bht4ur.xlsx]g3-16'!$A$25:$A$28</c:f>
              <c:strCache>
                <c:ptCount val="4"/>
                <c:pt idx="0">
                  <c:v>Yes, all primary practitioners provide</c:v>
                </c:pt>
                <c:pt idx="1">
                  <c:v>Yes, some primary practitioners provide</c:v>
                </c:pt>
                <c:pt idx="2">
                  <c:v>Yes, a few primary practitioners</c:v>
                </c:pt>
                <c:pt idx="3">
                  <c:v>No</c:v>
                </c:pt>
              </c:strCache>
            </c:strRef>
          </c:cat>
          <c:val>
            <c:numRef>
              <c:f>'[bht4ur.xlsx]g3-16'!$X$25:$X$28</c:f>
              <c:numCache>
                <c:formatCode>General</c:formatCode>
                <c:ptCount val="4"/>
                <c:pt idx="3">
                  <c:v>1</c:v>
                </c:pt>
              </c:numCache>
            </c:numRef>
          </c:val>
          <c:extLst>
            <c:ext xmlns:c16="http://schemas.microsoft.com/office/drawing/2014/chart" uri="{C3380CC4-5D6E-409C-BE32-E72D297353CC}">
              <c16:uniqueId val="{00000019-A201-4901-B55B-E84307EF56E7}"/>
            </c:ext>
          </c:extLst>
        </c:ser>
        <c:ser>
          <c:idx val="23"/>
          <c:order val="23"/>
          <c:tx>
            <c:strRef>
              <c:f>'[bht4ur.xlsx]g3-16'!$Y$24</c:f>
              <c:strCache>
                <c:ptCount val="1"/>
                <c:pt idx="0">
                  <c:v>KOR</c:v>
                </c:pt>
              </c:strCache>
            </c:strRef>
          </c:tx>
          <c:spPr>
            <a:solidFill>
              <a:schemeClr val="accent1">
                <a:lumMod val="40000"/>
                <a:lumOff val="60000"/>
              </a:schemeClr>
            </a:solidFill>
            <a:ln>
              <a:solidFill>
                <a:sysClr val="windowText" lastClr="000000"/>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'[bht4ur.xlsx]g3-16'!$A$25:$A$28</c:f>
              <c:strCache>
                <c:ptCount val="4"/>
                <c:pt idx="0">
                  <c:v>Yes, all primary practitioners provide</c:v>
                </c:pt>
                <c:pt idx="1">
                  <c:v>Yes, some primary practitioners provide</c:v>
                </c:pt>
                <c:pt idx="2">
                  <c:v>Yes, a few primary practitioners</c:v>
                </c:pt>
                <c:pt idx="3">
                  <c:v>No</c:v>
                </c:pt>
              </c:strCache>
            </c:strRef>
          </c:cat>
          <c:val>
            <c:numRef>
              <c:f>'[bht4ur.xlsx]g3-16'!$Y$25:$Y$28</c:f>
              <c:numCache>
                <c:formatCode>General</c:formatCode>
                <c:ptCount val="4"/>
                <c:pt idx="2">
                  <c:v>1</c:v>
                </c:pt>
              </c:numCache>
            </c:numRef>
          </c:val>
          <c:extLst>
            <c:ext xmlns:c16="http://schemas.microsoft.com/office/drawing/2014/chart" uri="{C3380CC4-5D6E-409C-BE32-E72D297353CC}">
              <c16:uniqueId val="{0000001A-A201-4901-B55B-E84307EF56E7}"/>
            </c:ext>
          </c:extLst>
        </c:ser>
        <c:ser>
          <c:idx val="24"/>
          <c:order val="24"/>
          <c:tx>
            <c:strRef>
              <c:f>'[bht4ur.xlsx]g3-16'!$Z$24</c:f>
              <c:strCache>
                <c:ptCount val="1"/>
                <c:pt idx="0">
                  <c:v>SVN</c:v>
                </c:pt>
              </c:strCache>
            </c:strRef>
          </c:tx>
          <c:spPr>
            <a:solidFill>
              <a:schemeClr val="accent1">
                <a:lumMod val="40000"/>
                <a:lumOff val="60000"/>
              </a:schemeClr>
            </a:solidFill>
            <a:ln>
              <a:solidFill>
                <a:sysClr val="windowText" lastClr="000000"/>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'[bht4ur.xlsx]g3-16'!$A$25:$A$28</c:f>
              <c:strCache>
                <c:ptCount val="4"/>
                <c:pt idx="0">
                  <c:v>Yes, all primary practitioners provide</c:v>
                </c:pt>
                <c:pt idx="1">
                  <c:v>Yes, some primary practitioners provide</c:v>
                </c:pt>
                <c:pt idx="2">
                  <c:v>Yes, a few primary practitioners</c:v>
                </c:pt>
                <c:pt idx="3">
                  <c:v>No</c:v>
                </c:pt>
              </c:strCache>
            </c:strRef>
          </c:cat>
          <c:val>
            <c:numRef>
              <c:f>'[bht4ur.xlsx]g3-16'!$Z$25:$Z$28</c:f>
              <c:numCache>
                <c:formatCode>General</c:formatCode>
                <c:ptCount val="4"/>
                <c:pt idx="1">
                  <c:v>1</c:v>
                </c:pt>
              </c:numCache>
            </c:numRef>
          </c:val>
          <c:extLst>
            <c:ext xmlns:c16="http://schemas.microsoft.com/office/drawing/2014/chart" uri="{C3380CC4-5D6E-409C-BE32-E72D297353CC}">
              <c16:uniqueId val="{0000001B-A201-4901-B55B-E84307EF56E7}"/>
            </c:ext>
          </c:extLst>
        </c:ser>
        <c:ser>
          <c:idx val="25"/>
          <c:order val="25"/>
          <c:tx>
            <c:strRef>
              <c:f>'[bht4ur.xlsx]g3-16'!$AA$24</c:f>
              <c:strCache>
                <c:ptCount val="1"/>
                <c:pt idx="0">
                  <c:v>TUR</c:v>
                </c:pt>
              </c:strCache>
            </c:strRef>
          </c:tx>
          <c:spPr>
            <a:solidFill>
              <a:schemeClr val="accent1">
                <a:lumMod val="40000"/>
                <a:lumOff val="60000"/>
              </a:schemeClr>
            </a:solidFill>
            <a:ln>
              <a:solidFill>
                <a:sysClr val="windowText" lastClr="000000"/>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'[bht4ur.xlsx]g3-16'!$A$25:$A$28</c:f>
              <c:strCache>
                <c:ptCount val="4"/>
                <c:pt idx="0">
                  <c:v>Yes, all primary practitioners provide</c:v>
                </c:pt>
                <c:pt idx="1">
                  <c:v>Yes, some primary practitioners provide</c:v>
                </c:pt>
                <c:pt idx="2">
                  <c:v>Yes, a few primary practitioners</c:v>
                </c:pt>
                <c:pt idx="3">
                  <c:v>No</c:v>
                </c:pt>
              </c:strCache>
            </c:strRef>
          </c:cat>
          <c:val>
            <c:numRef>
              <c:f>'[bht4ur.xlsx]g3-16'!$AA$25:$AA$28</c:f>
              <c:numCache>
                <c:formatCode>General</c:formatCode>
                <c:ptCount val="4"/>
                <c:pt idx="3">
                  <c:v>1</c:v>
                </c:pt>
              </c:numCache>
            </c:numRef>
          </c:val>
          <c:extLst>
            <c:ext xmlns:c16="http://schemas.microsoft.com/office/drawing/2014/chart" uri="{C3380CC4-5D6E-409C-BE32-E72D297353CC}">
              <c16:uniqueId val="{0000001C-A201-4901-B55B-E84307EF56E7}"/>
            </c:ext>
          </c:extLst>
        </c:ser>
        <c:dLbls>
          <c:showLegendKey val="0"/>
          <c:showVal val="0"/>
          <c:showCatName val="0"/>
          <c:showSerName val="0"/>
          <c:showPercent val="0"/>
          <c:showBubbleSize val="0"/>
        </c:dLbls>
        <c:gapWidth val="150"/>
        <c:overlap val="100"/>
        <c:axId val="785688816"/>
        <c:axId val="1"/>
      </c:barChart>
      <c:catAx>
        <c:axId val="785688816"/>
        <c:scaling>
          <c:orientation val="minMax"/>
        </c:scaling>
        <c:delete val="1"/>
        <c:axPos val="b"/>
        <c:majorGridlines>
          <c:spPr>
            <a:ln w="9525" cap="flat" cmpd="sng" algn="ctr">
              <a:solidFill>
                <a:srgbClr val="FFFFFF"/>
              </a:solidFill>
              <a:prstDash val="solid"/>
              <a:round/>
            </a:ln>
            <a:effectLst/>
          </c:spPr>
        </c:majorGridlines>
        <c:numFmt formatCode="General" sourceLinked="0"/>
        <c:majorTickMark val="in"/>
        <c:minorTickMark val="none"/>
        <c:tickLblPos val="low"/>
        <c:crossAx val="1"/>
        <c:crosses val="autoZero"/>
        <c:auto val="1"/>
        <c:lblAlgn val="ctr"/>
        <c:lblOffset val="0"/>
        <c:tickLblSkip val="1"/>
        <c:noMultiLvlLbl val="0"/>
      </c:catAx>
      <c:valAx>
        <c:axId val="1"/>
        <c:scaling>
          <c:orientation val="minMax"/>
        </c:scaling>
        <c:delete val="0"/>
        <c:axPos val="l"/>
        <c:majorGridlines>
          <c:spPr>
            <a:ln w="9525" cap="flat" cmpd="sng" algn="ctr">
              <a:solidFill>
                <a:srgbClr val="FFFFFF"/>
              </a:solidFill>
              <a:prstDash val="solid"/>
              <a:round/>
            </a:ln>
            <a:effectLst/>
          </c:spPr>
        </c:majorGridlines>
        <c:numFmt formatCode="General" sourceLinked="1"/>
        <c:majorTickMark val="in"/>
        <c:minorTickMark val="none"/>
        <c:tickLblPos val="nextTo"/>
        <c:spPr>
          <a:noFill/>
          <a:ln w="9525" cap="flat" cmpd="sng" algn="ctr">
            <a:solidFill>
              <a:srgbClr val="000000"/>
            </a:solidFill>
            <a:prstDash val="solid"/>
            <a:round/>
          </a:ln>
          <a:effectLst/>
          <a:extLst>
            <a:ext uri="{909E8E84-426E-40DD-AFC4-6F175D3DCCD1}">
              <a14:hiddenFill xmlns:a14="http://schemas.microsoft.com/office/drawing/2010/main">
                <a:noFill/>
              </a14:hiddenFill>
            </a:ext>
          </a:extLst>
        </c:spPr>
        <c:txPr>
          <a:bodyPr rot="-60000000" spcFirstLastPara="1" vertOverflow="ellipsis" vert="horz" wrap="square" anchor="ctr" anchorCtr="1"/>
          <a:lstStyle/>
          <a:p>
            <a:pPr>
              <a:defRPr sz="750" b="0" i="0" u="none" strike="noStrike" kern="1200" baseline="0">
                <a:solidFill>
                  <a:srgbClr val="000000"/>
                </a:solidFill>
                <a:latin typeface="Arial Narrow"/>
                <a:ea typeface="Arial Narrow"/>
                <a:cs typeface="Arial Narrow"/>
              </a:defRPr>
            </a:pPr>
            <a:endParaRPr lang="el-GR"/>
          </a:p>
        </c:txPr>
        <c:crossAx val="785688816"/>
        <c:crosses val="autoZero"/>
        <c:crossBetween val="between"/>
      </c:valAx>
      <c:spPr>
        <a:solidFill>
          <a:srgbClr val="F4FFFF"/>
        </a:solidFill>
        <a:ln w="9525">
          <a:noFill/>
        </a:ln>
        <a:effectLst/>
      </c:spPr>
    </c:plotArea>
    <c:plotVisOnly val="1"/>
    <c:dispBlanksAs val="gap"/>
    <c:showDLblsOverMax val="1"/>
  </c:chart>
  <c:spPr>
    <a:noFill/>
    <a:ln w="9525" cap="flat" cmpd="sng" algn="ctr">
      <a:noFill/>
      <a:prstDash val="solid"/>
      <a:round/>
    </a:ln>
    <a:effectLst/>
    <a:extLst>
      <a:ext uri="{909E8E84-426E-40DD-AFC4-6F175D3DCCD1}">
        <a14:hiddenFill xmlns:a14="http://schemas.microsoft.com/office/drawing/2010/main">
          <a:solidFill>
            <a:sysClr val="window" lastClr="FFFFFF"/>
          </a:solidFill>
        </a14:hiddenFill>
      </a:ext>
      <a:ext uri="{91240B29-F687-4F45-9708-019B960494DF}">
        <a14:hiddenLine xmlns:a14="http://schemas.microsoft.com/office/drawing/2010/main" w="9525" cap="flat" cmpd="sng" algn="ctr">
          <a:solidFill>
            <a:sysClr val="windowText" lastClr="000000">
              <a:tint val="75000"/>
              <a:shade val="95000"/>
              <a:satMod val="105000"/>
            </a:sysClr>
          </a:solidFill>
          <a:prstDash val="solid"/>
          <a:round/>
        </a14:hiddenLine>
      </a:ext>
    </a:extLst>
  </c:spPr>
  <c:txPr>
    <a:bodyPr/>
    <a:lstStyle/>
    <a:p>
      <a:pPr>
        <a:defRPr/>
      </a:pPr>
      <a:endParaRPr lang="el-GR"/>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l-G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Φύλλο1!$B$1</c:f>
              <c:strCache>
                <c:ptCount val="1"/>
                <c:pt idx="0">
                  <c:v>Μέσες ημέρες νοσηλείας</c:v>
                </c:pt>
              </c:strCache>
            </c:strRef>
          </c:tx>
          <c:spPr>
            <a:solidFill>
              <a:schemeClr val="accent1"/>
            </a:solidFill>
            <a:ln>
              <a:noFill/>
            </a:ln>
            <a:effectLst/>
          </c:spPr>
          <c:invertIfNegative val="0"/>
          <c:dPt>
            <c:idx val="20"/>
            <c:invertIfNegative val="0"/>
            <c:bubble3D val="0"/>
            <c:spPr>
              <a:solidFill>
                <a:srgbClr val="FF0000"/>
              </a:solidFill>
              <a:ln>
                <a:noFill/>
              </a:ln>
              <a:effectLst/>
            </c:spPr>
            <c:extLst>
              <c:ext xmlns:c16="http://schemas.microsoft.com/office/drawing/2014/chart" uri="{C3380CC4-5D6E-409C-BE32-E72D297353CC}">
                <c16:uniqueId val="{00000003-B71F-4B1D-9B87-36C4ABC21ADE}"/>
              </c:ext>
            </c:extLst>
          </c:dPt>
          <c:dPt>
            <c:idx val="29"/>
            <c:invertIfNegative val="0"/>
            <c:bubble3D val="0"/>
            <c:spPr>
              <a:solidFill>
                <a:srgbClr val="FF0000"/>
              </a:solidFill>
              <a:ln>
                <a:noFill/>
              </a:ln>
              <a:effectLst/>
            </c:spPr>
            <c:extLst>
              <c:ext xmlns:c16="http://schemas.microsoft.com/office/drawing/2014/chart" uri="{C3380CC4-5D6E-409C-BE32-E72D297353CC}">
                <c16:uniqueId val="{00000004-B71F-4B1D-9B87-36C4ABC21ADE}"/>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l-G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Φύλλο1!$A$2:$A$32</c:f>
              <c:strCache>
                <c:ptCount val="31"/>
                <c:pt idx="0">
                  <c:v>Βέλγιο</c:v>
                </c:pt>
                <c:pt idx="1">
                  <c:v>Ολλανδία</c:v>
                </c:pt>
                <c:pt idx="2">
                  <c:v>Ισλανδία</c:v>
                </c:pt>
                <c:pt idx="3">
                  <c:v>Ιρλανδία</c:v>
                </c:pt>
                <c:pt idx="4">
                  <c:v>Τουρκία</c:v>
                </c:pt>
                <c:pt idx="5">
                  <c:v>Ιταλία</c:v>
                </c:pt>
                <c:pt idx="6">
                  <c:v>Αυστραλία</c:v>
                </c:pt>
                <c:pt idx="7">
                  <c:v>Σουηδία</c:v>
                </c:pt>
                <c:pt idx="8">
                  <c:v>Εσθονία</c:v>
                </c:pt>
                <c:pt idx="9">
                  <c:v>Νορβηγία</c:v>
                </c:pt>
                <c:pt idx="10">
                  <c:v>Δανία</c:v>
                </c:pt>
                <c:pt idx="11">
                  <c:v>Πορτογαλία</c:v>
                </c:pt>
                <c:pt idx="12">
                  <c:v>Καναδάς</c:v>
                </c:pt>
                <c:pt idx="13">
                  <c:v>Φινλανδία</c:v>
                </c:pt>
                <c:pt idx="14">
                  <c:v>Γαλλία</c:v>
                </c:pt>
                <c:pt idx="15">
                  <c:v>Αυστρία</c:v>
                </c:pt>
                <c:pt idx="16">
                  <c:v>Γερμανία</c:v>
                </c:pt>
                <c:pt idx="17">
                  <c:v>Λουξεμβρούργο</c:v>
                </c:pt>
                <c:pt idx="18">
                  <c:v>Σουηδία</c:v>
                </c:pt>
                <c:pt idx="19">
                  <c:v>Μεξικό</c:v>
                </c:pt>
                <c:pt idx="20">
                  <c:v>ΟΟΣΑ</c:v>
                </c:pt>
                <c:pt idx="21">
                  <c:v>Ουγγαρία</c:v>
                </c:pt>
                <c:pt idx="22">
                  <c:v>Σλοβενία</c:v>
                </c:pt>
                <c:pt idx="23">
                  <c:v>Πολωνία</c:v>
                </c:pt>
                <c:pt idx="24">
                  <c:v>Ηνωμένο Βασίλειο</c:v>
                </c:pt>
                <c:pt idx="25">
                  <c:v>Τσεχία</c:v>
                </c:pt>
                <c:pt idx="26">
                  <c:v>Ισραήλ</c:v>
                </c:pt>
                <c:pt idx="27">
                  <c:v>Νέα Ζηλανδία</c:v>
                </c:pt>
                <c:pt idx="28">
                  <c:v>Ισπανία</c:v>
                </c:pt>
                <c:pt idx="29">
                  <c:v>Ελλάδα</c:v>
                </c:pt>
                <c:pt idx="30">
                  <c:v>Κορέα</c:v>
                </c:pt>
              </c:strCache>
            </c:strRef>
          </c:cat>
          <c:val>
            <c:numRef>
              <c:f>Φύλλο1!$B$2:$B$32</c:f>
              <c:numCache>
                <c:formatCode>General</c:formatCode>
                <c:ptCount val="31"/>
                <c:pt idx="0">
                  <c:v>9.3000000000000007</c:v>
                </c:pt>
                <c:pt idx="1">
                  <c:v>9.6</c:v>
                </c:pt>
                <c:pt idx="2">
                  <c:v>11.2</c:v>
                </c:pt>
                <c:pt idx="3">
                  <c:v>12.1</c:v>
                </c:pt>
                <c:pt idx="4">
                  <c:v>13.3</c:v>
                </c:pt>
                <c:pt idx="5">
                  <c:v>13.6</c:v>
                </c:pt>
                <c:pt idx="6">
                  <c:v>14.2</c:v>
                </c:pt>
                <c:pt idx="7">
                  <c:v>15.7</c:v>
                </c:pt>
                <c:pt idx="8">
                  <c:v>16.899999999999999</c:v>
                </c:pt>
                <c:pt idx="9">
                  <c:v>17.5</c:v>
                </c:pt>
                <c:pt idx="10">
                  <c:v>17.7</c:v>
                </c:pt>
                <c:pt idx="11">
                  <c:v>18</c:v>
                </c:pt>
                <c:pt idx="12">
                  <c:v>21.2</c:v>
                </c:pt>
                <c:pt idx="13">
                  <c:v>21.7</c:v>
                </c:pt>
                <c:pt idx="14">
                  <c:v>23</c:v>
                </c:pt>
                <c:pt idx="15">
                  <c:v>24.1</c:v>
                </c:pt>
                <c:pt idx="16">
                  <c:v>25.5</c:v>
                </c:pt>
                <c:pt idx="17">
                  <c:v>26.8</c:v>
                </c:pt>
                <c:pt idx="18">
                  <c:v>27</c:v>
                </c:pt>
                <c:pt idx="19">
                  <c:v>28.6</c:v>
                </c:pt>
                <c:pt idx="20">
                  <c:v>31.202941176470599</c:v>
                </c:pt>
                <c:pt idx="21">
                  <c:v>33</c:v>
                </c:pt>
                <c:pt idx="22">
                  <c:v>33.299999999999997</c:v>
                </c:pt>
                <c:pt idx="23">
                  <c:v>34.799999999999997</c:v>
                </c:pt>
                <c:pt idx="24">
                  <c:v>35.200000000000003</c:v>
                </c:pt>
                <c:pt idx="25">
                  <c:v>41</c:v>
                </c:pt>
                <c:pt idx="26">
                  <c:v>41.7</c:v>
                </c:pt>
                <c:pt idx="27">
                  <c:v>42.2</c:v>
                </c:pt>
                <c:pt idx="28">
                  <c:v>56.4</c:v>
                </c:pt>
                <c:pt idx="29">
                  <c:v>96</c:v>
                </c:pt>
                <c:pt idx="30">
                  <c:v>176.4</c:v>
                </c:pt>
              </c:numCache>
            </c:numRef>
          </c:val>
          <c:extLst>
            <c:ext xmlns:c16="http://schemas.microsoft.com/office/drawing/2014/chart" uri="{C3380CC4-5D6E-409C-BE32-E72D297353CC}">
              <c16:uniqueId val="{00000000-B71F-4B1D-9B87-36C4ABC21ADE}"/>
            </c:ext>
          </c:extLst>
        </c:ser>
        <c:dLbls>
          <c:showLegendKey val="0"/>
          <c:showVal val="0"/>
          <c:showCatName val="0"/>
          <c:showSerName val="0"/>
          <c:showPercent val="0"/>
          <c:showBubbleSize val="0"/>
        </c:dLbls>
        <c:gapWidth val="182"/>
        <c:axId val="519705160"/>
        <c:axId val="519705488"/>
      </c:barChart>
      <c:catAx>
        <c:axId val="51970516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l-GR"/>
          </a:p>
        </c:txPr>
        <c:crossAx val="519705488"/>
        <c:crosses val="autoZero"/>
        <c:auto val="1"/>
        <c:lblAlgn val="ctr"/>
        <c:lblOffset val="100"/>
        <c:noMultiLvlLbl val="0"/>
      </c:catAx>
      <c:valAx>
        <c:axId val="51970548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519705160"/>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l-GR"/>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l-G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Φύλλο1!$B$1</c:f>
              <c:strCache>
                <c:ptCount val="1"/>
                <c:pt idx="0">
                  <c:v>Σειρά 1</c:v>
                </c:pt>
              </c:strCache>
            </c:strRef>
          </c:tx>
          <c:spPr>
            <a:solidFill>
              <a:schemeClr val="accent1"/>
            </a:solidFill>
            <a:ln>
              <a:noFill/>
            </a:ln>
            <a:effectLst/>
          </c:spPr>
          <c:invertIfNegative val="0"/>
          <c:dPt>
            <c:idx val="10"/>
            <c:invertIfNegative val="0"/>
            <c:bubble3D val="0"/>
            <c:spPr>
              <a:solidFill>
                <a:srgbClr val="00B050"/>
              </a:solidFill>
              <a:ln>
                <a:noFill/>
              </a:ln>
              <a:effectLst/>
            </c:spPr>
            <c:extLst>
              <c:ext xmlns:c16="http://schemas.microsoft.com/office/drawing/2014/chart" uri="{C3380CC4-5D6E-409C-BE32-E72D297353CC}">
                <c16:uniqueId val="{00000004-DA1F-43BC-BACF-9617EBBD46BA}"/>
              </c:ext>
            </c:extLst>
          </c:dPt>
          <c:dPt>
            <c:idx val="15"/>
            <c:invertIfNegative val="0"/>
            <c:bubble3D val="0"/>
            <c:spPr>
              <a:solidFill>
                <a:srgbClr val="FF0000"/>
              </a:solidFill>
              <a:ln>
                <a:noFill/>
              </a:ln>
              <a:effectLst/>
            </c:spPr>
            <c:extLst>
              <c:ext xmlns:c16="http://schemas.microsoft.com/office/drawing/2014/chart" uri="{C3380CC4-5D6E-409C-BE32-E72D297353CC}">
                <c16:uniqueId val="{00000003-DA1F-43BC-BACF-9617EBBD46BA}"/>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l-G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Φύλλο1!$A$2:$A$31</c:f>
              <c:strCache>
                <c:ptCount val="30"/>
                <c:pt idx="0">
                  <c:v>Ουγγαρία</c:v>
                </c:pt>
                <c:pt idx="1">
                  <c:v>Νορβηγία</c:v>
                </c:pt>
                <c:pt idx="2">
                  <c:v>Ηνωμένο Βασίλειο</c:v>
                </c:pt>
                <c:pt idx="3">
                  <c:v>Ισλανδία</c:v>
                </c:pt>
                <c:pt idx="4">
                  <c:v>Ισπανία</c:v>
                </c:pt>
                <c:pt idx="5">
                  <c:v>Δανία</c:v>
                </c:pt>
                <c:pt idx="6">
                  <c:v>ΗΠΑ</c:v>
                </c:pt>
                <c:pt idx="7">
                  <c:v>Φινλανδία</c:v>
                </c:pt>
                <c:pt idx="8">
                  <c:v>Ολλανδία</c:v>
                </c:pt>
                <c:pt idx="9">
                  <c:v>Αυστρία</c:v>
                </c:pt>
                <c:pt idx="10">
                  <c:v>Ελλάδα</c:v>
                </c:pt>
                <c:pt idx="11">
                  <c:v>Πολωνία</c:v>
                </c:pt>
                <c:pt idx="12">
                  <c:v>Σουηδία</c:v>
                </c:pt>
                <c:pt idx="13">
                  <c:v>Βέλγιο</c:v>
                </c:pt>
                <c:pt idx="14">
                  <c:v>Ισραήλ</c:v>
                </c:pt>
                <c:pt idx="15">
                  <c:v>ΟΟΣΑ</c:v>
                </c:pt>
                <c:pt idx="16">
                  <c:v>Σλοβενία</c:v>
                </c:pt>
                <c:pt idx="17">
                  <c:v>Λετονία</c:v>
                </c:pt>
                <c:pt idx="18">
                  <c:v>Νέα Ζηλανδία</c:v>
                </c:pt>
                <c:pt idx="19">
                  <c:v>Πορτογαλία</c:v>
                </c:pt>
                <c:pt idx="20">
                  <c:v>Ιρλανδία</c:v>
                </c:pt>
                <c:pt idx="21">
                  <c:v>Γερμανία</c:v>
                </c:pt>
                <c:pt idx="22">
                  <c:v>Εσθονία</c:v>
                </c:pt>
                <c:pt idx="23">
                  <c:v>Λουξεμβούργο</c:v>
                </c:pt>
                <c:pt idx="24">
                  <c:v>Καναδάς</c:v>
                </c:pt>
                <c:pt idx="25">
                  <c:v>Γαλλία</c:v>
                </c:pt>
                <c:pt idx="26">
                  <c:v>Τσεχία</c:v>
                </c:pt>
                <c:pt idx="27">
                  <c:v>Σουηδία</c:v>
                </c:pt>
                <c:pt idx="28">
                  <c:v>Ιταλία</c:v>
                </c:pt>
                <c:pt idx="29">
                  <c:v>Ιαπωνία</c:v>
                </c:pt>
              </c:strCache>
            </c:strRef>
          </c:cat>
          <c:val>
            <c:numRef>
              <c:f>Φύλλο1!$B$2:$B$31</c:f>
              <c:numCache>
                <c:formatCode>0.0</c:formatCode>
                <c:ptCount val="30"/>
                <c:pt idx="0">
                  <c:v>68.380904955098899</c:v>
                </c:pt>
                <c:pt idx="1">
                  <c:v>68.768075346273093</c:v>
                </c:pt>
                <c:pt idx="2">
                  <c:v>69.920756431965401</c:v>
                </c:pt>
                <c:pt idx="3">
                  <c:v>71.762014654264703</c:v>
                </c:pt>
                <c:pt idx="4">
                  <c:v>72.694143993438601</c:v>
                </c:pt>
                <c:pt idx="5">
                  <c:v>73.788005035881696</c:v>
                </c:pt>
                <c:pt idx="6">
                  <c:v>74.725449483194197</c:v>
                </c:pt>
                <c:pt idx="7">
                  <c:v>75.123016882017197</c:v>
                </c:pt>
                <c:pt idx="8">
                  <c:v>76.017721015044202</c:v>
                </c:pt>
                <c:pt idx="9">
                  <c:v>76.234552034284107</c:v>
                </c:pt>
                <c:pt idx="10">
                  <c:v>76.800893650340996</c:v>
                </c:pt>
                <c:pt idx="11">
                  <c:v>77.042750614499994</c:v>
                </c:pt>
                <c:pt idx="12">
                  <c:v>77.981518228092895</c:v>
                </c:pt>
                <c:pt idx="13">
                  <c:v>78.000609040320398</c:v>
                </c:pt>
                <c:pt idx="14">
                  <c:v>78.222628483355194</c:v>
                </c:pt>
                <c:pt idx="15">
                  <c:v>79.760807947714994</c:v>
                </c:pt>
                <c:pt idx="16">
                  <c:v>79.4721703562588</c:v>
                </c:pt>
                <c:pt idx="17">
                  <c:v>81.693473519318403</c:v>
                </c:pt>
                <c:pt idx="18">
                  <c:v>82.112166798271204</c:v>
                </c:pt>
                <c:pt idx="19">
                  <c:v>82.350035946776003</c:v>
                </c:pt>
                <c:pt idx="20">
                  <c:v>83.041044423217002</c:v>
                </c:pt>
                <c:pt idx="21">
                  <c:v>83.979097191501694</c:v>
                </c:pt>
                <c:pt idx="22">
                  <c:v>84.434264759865499</c:v>
                </c:pt>
                <c:pt idx="23">
                  <c:v>85.134101093412397</c:v>
                </c:pt>
                <c:pt idx="24">
                  <c:v>85.365972104986696</c:v>
                </c:pt>
                <c:pt idx="25">
                  <c:v>85.497058860003406</c:v>
                </c:pt>
                <c:pt idx="26">
                  <c:v>87.411592730613293</c:v>
                </c:pt>
                <c:pt idx="27">
                  <c:v>87.523801185539995</c:v>
                </c:pt>
                <c:pt idx="28">
                  <c:v>90.029541270453393</c:v>
                </c:pt>
                <c:pt idx="29">
                  <c:v>96.432947583390103</c:v>
                </c:pt>
              </c:numCache>
            </c:numRef>
          </c:val>
          <c:extLst>
            <c:ext xmlns:c16="http://schemas.microsoft.com/office/drawing/2014/chart" uri="{C3380CC4-5D6E-409C-BE32-E72D297353CC}">
              <c16:uniqueId val="{00000000-DA1F-43BC-BACF-9617EBBD46BA}"/>
            </c:ext>
          </c:extLst>
        </c:ser>
        <c:dLbls>
          <c:showLegendKey val="0"/>
          <c:showVal val="0"/>
          <c:showCatName val="0"/>
          <c:showSerName val="0"/>
          <c:showPercent val="0"/>
          <c:showBubbleSize val="0"/>
        </c:dLbls>
        <c:gapWidth val="182"/>
        <c:axId val="520735560"/>
        <c:axId val="520740480"/>
      </c:barChart>
      <c:catAx>
        <c:axId val="52073556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l-GR"/>
          </a:p>
        </c:txPr>
        <c:crossAx val="520740480"/>
        <c:crosses val="autoZero"/>
        <c:auto val="1"/>
        <c:lblAlgn val="ctr"/>
        <c:lblOffset val="100"/>
        <c:noMultiLvlLbl val="0"/>
      </c:catAx>
      <c:valAx>
        <c:axId val="520740480"/>
        <c:scaling>
          <c:orientation val="minMax"/>
        </c:scaling>
        <c:delete val="0"/>
        <c:axPos val="b"/>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52073556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l-GR"/>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l-G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Φύλλο1!$B$1</c:f>
              <c:strCache>
                <c:ptCount val="1"/>
                <c:pt idx="0">
                  <c:v>Με ψυχολογικό πρόβλημα</c:v>
                </c:pt>
              </c:strCache>
            </c:strRef>
          </c:tx>
          <c:spPr>
            <a:solidFill>
              <a:schemeClr val="accent1"/>
            </a:solidFill>
            <a:ln>
              <a:noFill/>
            </a:ln>
            <a:effectLst/>
          </c:spPr>
          <c:invertIfNegative val="0"/>
          <c:dPt>
            <c:idx val="8"/>
            <c:invertIfNegative val="0"/>
            <c:bubble3D val="0"/>
            <c:spPr>
              <a:solidFill>
                <a:schemeClr val="tx2">
                  <a:lumMod val="40000"/>
                  <a:lumOff val="60000"/>
                </a:schemeClr>
              </a:solidFill>
              <a:ln>
                <a:noFill/>
              </a:ln>
              <a:effectLst/>
            </c:spPr>
            <c:extLst>
              <c:ext xmlns:c16="http://schemas.microsoft.com/office/drawing/2014/chart" uri="{C3380CC4-5D6E-409C-BE32-E72D297353CC}">
                <c16:uniqueId val="{00000005-6B17-44C8-A350-3DF9627BF749}"/>
              </c:ext>
            </c:extLst>
          </c:dPt>
          <c:dPt>
            <c:idx val="14"/>
            <c:invertIfNegative val="0"/>
            <c:bubble3D val="0"/>
            <c:spPr>
              <a:solidFill>
                <a:schemeClr val="tx2">
                  <a:lumMod val="40000"/>
                  <a:lumOff val="60000"/>
                </a:schemeClr>
              </a:solidFill>
              <a:ln>
                <a:noFill/>
              </a:ln>
              <a:effectLst/>
            </c:spPr>
            <c:extLst>
              <c:ext xmlns:c16="http://schemas.microsoft.com/office/drawing/2014/chart" uri="{C3380CC4-5D6E-409C-BE32-E72D297353CC}">
                <c16:uniqueId val="{00000004-6B17-44C8-A350-3DF9627BF749}"/>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l-GR"/>
              </a:p>
            </c:txPr>
            <c:dLblPos val="inBase"/>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Φύλλο1!$A$2:$A$30</c:f>
              <c:strCache>
                <c:ptCount val="29"/>
                <c:pt idx="0">
                  <c:v>Ιταλία</c:v>
                </c:pt>
                <c:pt idx="1">
                  <c:v>Τσεχία</c:v>
                </c:pt>
                <c:pt idx="2">
                  <c:v>Πορτογαλία</c:v>
                </c:pt>
                <c:pt idx="3">
                  <c:v>Σλοβενία</c:v>
                </c:pt>
                <c:pt idx="4">
                  <c:v>Γερμανία</c:v>
                </c:pt>
                <c:pt idx="5">
                  <c:v>Πολωνία</c:v>
                </c:pt>
                <c:pt idx="6">
                  <c:v>Ουγγαρία</c:v>
                </c:pt>
                <c:pt idx="7">
                  <c:v>Αυστρία</c:v>
                </c:pt>
                <c:pt idx="8">
                  <c:v>Ελλάδα</c:v>
                </c:pt>
                <c:pt idx="9">
                  <c:v>Γαλλία</c:v>
                </c:pt>
                <c:pt idx="10">
                  <c:v>Ολλανδία</c:v>
                </c:pt>
                <c:pt idx="11">
                  <c:v>Ισπανία</c:v>
                </c:pt>
                <c:pt idx="12">
                  <c:v>Σουηδία</c:v>
                </c:pt>
                <c:pt idx="13">
                  <c:v>Λιθουανία</c:v>
                </c:pt>
                <c:pt idx="14">
                  <c:v>ΟΟΣΑ</c:v>
                </c:pt>
                <c:pt idx="15">
                  <c:v>Ισλανδία</c:v>
                </c:pt>
                <c:pt idx="16">
                  <c:v>Εσθονία</c:v>
                </c:pt>
                <c:pt idx="17">
                  <c:v>Νορβηγία</c:v>
                </c:pt>
                <c:pt idx="18">
                  <c:v>Ισραήλ</c:v>
                </c:pt>
                <c:pt idx="19">
                  <c:v>Νέα Ζηλανδία</c:v>
                </c:pt>
                <c:pt idx="20">
                  <c:v>Λουξεμβούργο</c:v>
                </c:pt>
                <c:pt idx="21">
                  <c:v>Ιρλανδία</c:v>
                </c:pt>
                <c:pt idx="22">
                  <c:v>Ηνωμένο Βασίλειο</c:v>
                </c:pt>
                <c:pt idx="23">
                  <c:v>Βέλγιο</c:v>
                </c:pt>
                <c:pt idx="24">
                  <c:v>Δανία</c:v>
                </c:pt>
                <c:pt idx="25">
                  <c:v>Φινλανδία</c:v>
                </c:pt>
                <c:pt idx="26">
                  <c:v>Ιαπωνία</c:v>
                </c:pt>
                <c:pt idx="27">
                  <c:v>Καναδάς</c:v>
                </c:pt>
                <c:pt idx="28">
                  <c:v>ΗΠΑ</c:v>
                </c:pt>
              </c:strCache>
            </c:strRef>
          </c:cat>
          <c:val>
            <c:numRef>
              <c:f>Φύλλο1!$B$2:$B$30</c:f>
              <c:numCache>
                <c:formatCode>0.0</c:formatCode>
                <c:ptCount val="29"/>
                <c:pt idx="0">
                  <c:v>14.0454912185669</c:v>
                </c:pt>
                <c:pt idx="1">
                  <c:v>15.8428497314453</c:v>
                </c:pt>
                <c:pt idx="2">
                  <c:v>16.1526985168457</c:v>
                </c:pt>
                <c:pt idx="3">
                  <c:v>24.1605548858643</c:v>
                </c:pt>
                <c:pt idx="4">
                  <c:v>16.146240234375</c:v>
                </c:pt>
                <c:pt idx="5">
                  <c:v>21.944187164306602</c:v>
                </c:pt>
                <c:pt idx="6">
                  <c:v>15.5336513519287</c:v>
                </c:pt>
                <c:pt idx="7">
                  <c:v>20.7353916168213</c:v>
                </c:pt>
                <c:pt idx="8">
                  <c:v>23.6776313781738</c:v>
                </c:pt>
                <c:pt idx="9">
                  <c:v>27.334423065185501</c:v>
                </c:pt>
                <c:pt idx="10">
                  <c:v>23.986112680897001</c:v>
                </c:pt>
                <c:pt idx="11">
                  <c:v>22.6887092590332</c:v>
                </c:pt>
                <c:pt idx="12">
                  <c:v>27.546453475952099</c:v>
                </c:pt>
                <c:pt idx="13">
                  <c:v>29.807991027831999</c:v>
                </c:pt>
                <c:pt idx="14">
                  <c:v>27.908865406825701</c:v>
                </c:pt>
                <c:pt idx="15">
                  <c:v>23.304670333862301</c:v>
                </c:pt>
                <c:pt idx="16">
                  <c:v>30.6265869140625</c:v>
                </c:pt>
                <c:pt idx="17">
                  <c:v>25.5017604827881</c:v>
                </c:pt>
                <c:pt idx="18">
                  <c:v>28.548387527465799</c:v>
                </c:pt>
                <c:pt idx="19">
                  <c:v>32.573291778564503</c:v>
                </c:pt>
                <c:pt idx="20">
                  <c:v>28.275806427001999</c:v>
                </c:pt>
                <c:pt idx="21">
                  <c:v>37.686901092529297</c:v>
                </c:pt>
                <c:pt idx="22">
                  <c:v>28.116725921630898</c:v>
                </c:pt>
                <c:pt idx="23">
                  <c:v>31.361902236938501</c:v>
                </c:pt>
                <c:pt idx="24">
                  <c:v>38.057403564453097</c:v>
                </c:pt>
                <c:pt idx="25">
                  <c:v>40.215568542480497</c:v>
                </c:pt>
                <c:pt idx="26" formatCode="General">
                  <c:v>46.4</c:v>
                </c:pt>
                <c:pt idx="27">
                  <c:v>51.951148986816399</c:v>
                </c:pt>
                <c:pt idx="28">
                  <c:v>56.856243133544901</c:v>
                </c:pt>
              </c:numCache>
            </c:numRef>
          </c:val>
          <c:extLst>
            <c:ext xmlns:c16="http://schemas.microsoft.com/office/drawing/2014/chart" uri="{C3380CC4-5D6E-409C-BE32-E72D297353CC}">
              <c16:uniqueId val="{00000000-6B17-44C8-A350-3DF9627BF749}"/>
            </c:ext>
          </c:extLst>
        </c:ser>
        <c:ser>
          <c:idx val="1"/>
          <c:order val="1"/>
          <c:tx>
            <c:strRef>
              <c:f>Φύλλο1!$C$1</c:f>
              <c:strCache>
                <c:ptCount val="1"/>
                <c:pt idx="0">
                  <c:v>Χωρίς ψυχολογικό πρόβλημα</c:v>
                </c:pt>
              </c:strCache>
            </c:strRef>
          </c:tx>
          <c:spPr>
            <a:solidFill>
              <a:schemeClr val="accent2"/>
            </a:solidFill>
            <a:ln>
              <a:noFill/>
            </a:ln>
            <a:effectLst/>
          </c:spPr>
          <c:invertIfNegative val="0"/>
          <c:dPt>
            <c:idx val="8"/>
            <c:invertIfNegative val="0"/>
            <c:bubble3D val="0"/>
            <c:spPr>
              <a:solidFill>
                <a:srgbClr val="FF0000"/>
              </a:solidFill>
              <a:ln>
                <a:noFill/>
              </a:ln>
              <a:effectLst/>
            </c:spPr>
            <c:extLst>
              <c:ext xmlns:c16="http://schemas.microsoft.com/office/drawing/2014/chart" uri="{C3380CC4-5D6E-409C-BE32-E72D297353CC}">
                <c16:uniqueId val="{00000008-734D-4199-B8B7-6616ACFB18D2}"/>
              </c:ext>
            </c:extLst>
          </c:dPt>
          <c:dPt>
            <c:idx val="9"/>
            <c:invertIfNegative val="0"/>
            <c:bubble3D val="0"/>
            <c:spPr>
              <a:solidFill>
                <a:schemeClr val="accent2"/>
              </a:solidFill>
              <a:ln>
                <a:noFill/>
              </a:ln>
              <a:effectLst/>
            </c:spPr>
            <c:extLst>
              <c:ext xmlns:c16="http://schemas.microsoft.com/office/drawing/2014/chart" uri="{C3380CC4-5D6E-409C-BE32-E72D297353CC}">
                <c16:uniqueId val="{00000006-6B17-44C8-A350-3DF9627BF749}"/>
              </c:ext>
            </c:extLst>
          </c:dPt>
          <c:dPt>
            <c:idx val="14"/>
            <c:invertIfNegative val="0"/>
            <c:bubble3D val="0"/>
            <c:spPr>
              <a:solidFill>
                <a:srgbClr val="FF0000"/>
              </a:solidFill>
              <a:ln>
                <a:noFill/>
              </a:ln>
              <a:effectLst/>
            </c:spPr>
            <c:extLst>
              <c:ext xmlns:c16="http://schemas.microsoft.com/office/drawing/2014/chart" uri="{C3380CC4-5D6E-409C-BE32-E72D297353CC}">
                <c16:uniqueId val="{00000003-6B17-44C8-A350-3DF9627BF749}"/>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l-GR"/>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Φύλλο1!$A$2:$A$30</c:f>
              <c:strCache>
                <c:ptCount val="29"/>
                <c:pt idx="0">
                  <c:v>Ιταλία</c:v>
                </c:pt>
                <c:pt idx="1">
                  <c:v>Τσεχία</c:v>
                </c:pt>
                <c:pt idx="2">
                  <c:v>Πορτογαλία</c:v>
                </c:pt>
                <c:pt idx="3">
                  <c:v>Σλοβενία</c:v>
                </c:pt>
                <c:pt idx="4">
                  <c:v>Γερμανία</c:v>
                </c:pt>
                <c:pt idx="5">
                  <c:v>Πολωνία</c:v>
                </c:pt>
                <c:pt idx="6">
                  <c:v>Ουγγαρία</c:v>
                </c:pt>
                <c:pt idx="7">
                  <c:v>Αυστρία</c:v>
                </c:pt>
                <c:pt idx="8">
                  <c:v>Ελλάδα</c:v>
                </c:pt>
                <c:pt idx="9">
                  <c:v>Γαλλία</c:v>
                </c:pt>
                <c:pt idx="10">
                  <c:v>Ολλανδία</c:v>
                </c:pt>
                <c:pt idx="11">
                  <c:v>Ισπανία</c:v>
                </c:pt>
                <c:pt idx="12">
                  <c:v>Σουηδία</c:v>
                </c:pt>
                <c:pt idx="13">
                  <c:v>Λιθουανία</c:v>
                </c:pt>
                <c:pt idx="14">
                  <c:v>ΟΟΣΑ</c:v>
                </c:pt>
                <c:pt idx="15">
                  <c:v>Ισλανδία</c:v>
                </c:pt>
                <c:pt idx="16">
                  <c:v>Εσθονία</c:v>
                </c:pt>
                <c:pt idx="17">
                  <c:v>Νορβηγία</c:v>
                </c:pt>
                <c:pt idx="18">
                  <c:v>Ισραήλ</c:v>
                </c:pt>
                <c:pt idx="19">
                  <c:v>Νέα Ζηλανδία</c:v>
                </c:pt>
                <c:pt idx="20">
                  <c:v>Λουξεμβούργο</c:v>
                </c:pt>
                <c:pt idx="21">
                  <c:v>Ιρλανδία</c:v>
                </c:pt>
                <c:pt idx="22">
                  <c:v>Ηνωμένο Βασίλειο</c:v>
                </c:pt>
                <c:pt idx="23">
                  <c:v>Βέλγιο</c:v>
                </c:pt>
                <c:pt idx="24">
                  <c:v>Δανία</c:v>
                </c:pt>
                <c:pt idx="25">
                  <c:v>Φινλανδία</c:v>
                </c:pt>
                <c:pt idx="26">
                  <c:v>Ιαπωνία</c:v>
                </c:pt>
                <c:pt idx="27">
                  <c:v>Καναδάς</c:v>
                </c:pt>
                <c:pt idx="28">
                  <c:v>ΗΠΑ</c:v>
                </c:pt>
              </c:strCache>
            </c:strRef>
          </c:cat>
          <c:val>
            <c:numRef>
              <c:f>Φύλλο1!$C$2:$C$30</c:f>
              <c:numCache>
                <c:formatCode>0.0</c:formatCode>
                <c:ptCount val="29"/>
                <c:pt idx="0">
                  <c:v>16.331701278686499</c:v>
                </c:pt>
                <c:pt idx="1">
                  <c:v>19.878025054931602</c:v>
                </c:pt>
                <c:pt idx="2">
                  <c:v>21.647708892822301</c:v>
                </c:pt>
                <c:pt idx="3">
                  <c:v>23.423412322998001</c:v>
                </c:pt>
                <c:pt idx="4">
                  <c:v>25.745197296142599</c:v>
                </c:pt>
                <c:pt idx="5">
                  <c:v>25.7537536621094</c:v>
                </c:pt>
                <c:pt idx="6">
                  <c:v>26.281257629394499</c:v>
                </c:pt>
                <c:pt idx="7">
                  <c:v>27.695783615112301</c:v>
                </c:pt>
                <c:pt idx="8">
                  <c:v>29.9573459625244</c:v>
                </c:pt>
                <c:pt idx="9">
                  <c:v>30.347166061401399</c:v>
                </c:pt>
                <c:pt idx="10" formatCode="General">
                  <c:v>31</c:v>
                </c:pt>
                <c:pt idx="11">
                  <c:v>33.005157470703097</c:v>
                </c:pt>
                <c:pt idx="12">
                  <c:v>33.861049652099602</c:v>
                </c:pt>
                <c:pt idx="13">
                  <c:v>34.364231109619098</c:v>
                </c:pt>
                <c:pt idx="14">
                  <c:v>35.461699655056002</c:v>
                </c:pt>
                <c:pt idx="15">
                  <c:v>36.087162017822301</c:v>
                </c:pt>
                <c:pt idx="16">
                  <c:v>36.219879150390597</c:v>
                </c:pt>
                <c:pt idx="17">
                  <c:v>37.895442962646499</c:v>
                </c:pt>
                <c:pt idx="18">
                  <c:v>38.513210296630902</c:v>
                </c:pt>
                <c:pt idx="19">
                  <c:v>38.521224975585902</c:v>
                </c:pt>
                <c:pt idx="20">
                  <c:v>41.952281951904297</c:v>
                </c:pt>
                <c:pt idx="21">
                  <c:v>43.3012084960938</c:v>
                </c:pt>
                <c:pt idx="22">
                  <c:v>43.641937255859403</c:v>
                </c:pt>
                <c:pt idx="23">
                  <c:v>44.1865234375</c:v>
                </c:pt>
                <c:pt idx="24">
                  <c:v>45.683265686035199</c:v>
                </c:pt>
                <c:pt idx="25">
                  <c:v>46.406501770019503</c:v>
                </c:pt>
                <c:pt idx="26" formatCode="General">
                  <c:v>48.43</c:v>
                </c:pt>
                <c:pt idx="27">
                  <c:v>63.402702331542997</c:v>
                </c:pt>
                <c:pt idx="28">
                  <c:v>65.744949340820298</c:v>
                </c:pt>
              </c:numCache>
            </c:numRef>
          </c:val>
          <c:extLst>
            <c:ext xmlns:c16="http://schemas.microsoft.com/office/drawing/2014/chart" uri="{C3380CC4-5D6E-409C-BE32-E72D297353CC}">
              <c16:uniqueId val="{00000001-6B17-44C8-A350-3DF9627BF749}"/>
            </c:ext>
          </c:extLst>
        </c:ser>
        <c:dLbls>
          <c:showLegendKey val="0"/>
          <c:showVal val="0"/>
          <c:showCatName val="0"/>
          <c:showSerName val="0"/>
          <c:showPercent val="0"/>
          <c:showBubbleSize val="0"/>
        </c:dLbls>
        <c:gapWidth val="182"/>
        <c:axId val="525043624"/>
        <c:axId val="525048872"/>
      </c:barChart>
      <c:catAx>
        <c:axId val="52504362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525048872"/>
        <c:crosses val="autoZero"/>
        <c:auto val="1"/>
        <c:lblAlgn val="ctr"/>
        <c:lblOffset val="100"/>
        <c:noMultiLvlLbl val="0"/>
      </c:catAx>
      <c:valAx>
        <c:axId val="525048872"/>
        <c:scaling>
          <c:orientation val="minMax"/>
        </c:scaling>
        <c:delete val="0"/>
        <c:axPos val="b"/>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5250436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legend>
    <c:plotVisOnly val="1"/>
    <c:dispBlanksAs val="gap"/>
    <c:showDLblsOverMax val="0"/>
  </c:chart>
  <c:spPr>
    <a:solidFill>
      <a:schemeClr val="bg1"/>
    </a:solidFill>
    <a:ln w="9525" cap="flat" cmpd="sng" algn="ctr">
      <a:noFill/>
      <a:round/>
    </a:ln>
    <a:effectLst/>
  </c:spPr>
  <c:txPr>
    <a:bodyPr/>
    <a:lstStyle/>
    <a:p>
      <a:pPr>
        <a:defRPr/>
      </a:pPr>
      <a:endParaRPr lang="el-GR"/>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l-G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Φύλλο1!$B$1</c:f>
              <c:strCache>
                <c:ptCount val="1"/>
                <c:pt idx="0">
                  <c:v>Σειρά 1</c:v>
                </c:pt>
              </c:strCache>
            </c:strRef>
          </c:tx>
          <c:spPr>
            <a:solidFill>
              <a:schemeClr val="accent1"/>
            </a:solidFill>
            <a:ln>
              <a:noFill/>
            </a:ln>
            <a:effectLst/>
          </c:spPr>
          <c:invertIfNegative val="0"/>
          <c:dPt>
            <c:idx val="1"/>
            <c:invertIfNegative val="0"/>
            <c:bubble3D val="0"/>
            <c:spPr>
              <a:solidFill>
                <a:srgbClr val="00B050"/>
              </a:solidFill>
              <a:ln>
                <a:noFill/>
              </a:ln>
              <a:effectLst/>
            </c:spPr>
            <c:extLst>
              <c:ext xmlns:c16="http://schemas.microsoft.com/office/drawing/2014/chart" uri="{C3380CC4-5D6E-409C-BE32-E72D297353CC}">
                <c16:uniqueId val="{00000006-9D8F-4F6B-ACB9-D9F10A319B9E}"/>
              </c:ext>
            </c:extLst>
          </c:dPt>
          <c:dPt>
            <c:idx val="10"/>
            <c:invertIfNegative val="0"/>
            <c:bubble3D val="0"/>
            <c:spPr>
              <a:solidFill>
                <a:schemeClr val="tx2">
                  <a:lumMod val="60000"/>
                  <a:lumOff val="40000"/>
                </a:schemeClr>
              </a:solidFill>
              <a:ln>
                <a:noFill/>
              </a:ln>
              <a:effectLst/>
            </c:spPr>
            <c:extLst>
              <c:ext xmlns:c16="http://schemas.microsoft.com/office/drawing/2014/chart" uri="{C3380CC4-5D6E-409C-BE32-E72D297353CC}">
                <c16:uniqueId val="{00000001-9D8F-4F6B-ACB9-D9F10A319B9E}"/>
              </c:ext>
            </c:extLst>
          </c:dPt>
          <c:dPt>
            <c:idx val="15"/>
            <c:invertIfNegative val="0"/>
            <c:bubble3D val="0"/>
            <c:spPr>
              <a:solidFill>
                <a:schemeClr val="tx2">
                  <a:lumMod val="60000"/>
                  <a:lumOff val="40000"/>
                </a:schemeClr>
              </a:solidFill>
              <a:ln>
                <a:noFill/>
              </a:ln>
              <a:effectLst/>
            </c:spPr>
            <c:extLst>
              <c:ext xmlns:c16="http://schemas.microsoft.com/office/drawing/2014/chart" uri="{C3380CC4-5D6E-409C-BE32-E72D297353CC}">
                <c16:uniqueId val="{00000003-9D8F-4F6B-ACB9-D9F10A319B9E}"/>
              </c:ext>
            </c:extLst>
          </c:dPt>
          <c:dPt>
            <c:idx val="16"/>
            <c:invertIfNegative val="0"/>
            <c:bubble3D val="0"/>
            <c:spPr>
              <a:solidFill>
                <a:srgbClr val="FF0000"/>
              </a:solidFill>
              <a:ln>
                <a:noFill/>
              </a:ln>
              <a:effectLst/>
            </c:spPr>
            <c:extLst>
              <c:ext xmlns:c16="http://schemas.microsoft.com/office/drawing/2014/chart" uri="{C3380CC4-5D6E-409C-BE32-E72D297353CC}">
                <c16:uniqueId val="{00000005-9D8F-4F6B-ACB9-D9F10A319B9E}"/>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l-G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Φύλλο1!$A$2:$A$31</c:f>
              <c:strCache>
                <c:ptCount val="30"/>
                <c:pt idx="0">
                  <c:v>Τουρκία</c:v>
                </c:pt>
                <c:pt idx="1">
                  <c:v>Ελλάδα</c:v>
                </c:pt>
                <c:pt idx="2">
                  <c:v>Ισραήλ</c:v>
                </c:pt>
                <c:pt idx="3">
                  <c:v>Ιταλία</c:v>
                </c:pt>
                <c:pt idx="4">
                  <c:v>Μεξικό</c:v>
                </c:pt>
                <c:pt idx="5">
                  <c:v>Κολομβία</c:v>
                </c:pt>
                <c:pt idx="6">
                  <c:v>Ισπανία</c:v>
                </c:pt>
                <c:pt idx="7">
                  <c:v>Λουξεμβρούργο</c:v>
                </c:pt>
                <c:pt idx="8">
                  <c:v>Ην.Βασίλειο</c:v>
                </c:pt>
                <c:pt idx="9">
                  <c:v>Πορτογαλία</c:v>
                </c:pt>
                <c:pt idx="10">
                  <c:v>Ιρλανδία</c:v>
                </c:pt>
                <c:pt idx="11">
                  <c:v>Δανία</c:v>
                </c:pt>
                <c:pt idx="12">
                  <c:v>Γερμανία</c:v>
                </c:pt>
                <c:pt idx="13">
                  <c:v>Ολλανδία</c:v>
                </c:pt>
                <c:pt idx="14">
                  <c:v>Χιλή</c:v>
                </c:pt>
                <c:pt idx="15">
                  <c:v>Καναδάς</c:v>
                </c:pt>
                <c:pt idx="16">
                  <c:v>ΟΟΣΑ</c:v>
                </c:pt>
                <c:pt idx="17">
                  <c:v>Πολωνία</c:v>
                </c:pt>
                <c:pt idx="18">
                  <c:v>Σουηδία</c:v>
                </c:pt>
                <c:pt idx="19">
                  <c:v>Νορβηγία</c:v>
                </c:pt>
                <c:pt idx="20">
                  <c:v>Νέα Ζηλανδία</c:v>
                </c:pt>
                <c:pt idx="21">
                  <c:v>Γαλλία</c:v>
                </c:pt>
                <c:pt idx="22">
                  <c:v>Αυστραλία</c:v>
                </c:pt>
                <c:pt idx="23">
                  <c:v>Εσθονία</c:v>
                </c:pt>
                <c:pt idx="24">
                  <c:v>ΗΠΑ</c:v>
                </c:pt>
                <c:pt idx="25">
                  <c:v>Φινλανδία</c:v>
                </c:pt>
                <c:pt idx="26">
                  <c:v>Ιαπωνία</c:v>
                </c:pt>
                <c:pt idx="27">
                  <c:v>Βέλγιο</c:v>
                </c:pt>
                <c:pt idx="28">
                  <c:v>Σλοβενία</c:v>
                </c:pt>
                <c:pt idx="29">
                  <c:v>Λετονία</c:v>
                </c:pt>
              </c:strCache>
            </c:strRef>
          </c:cat>
          <c:val>
            <c:numRef>
              <c:f>Φύλλο1!$B$2:$B$31</c:f>
              <c:numCache>
                <c:formatCode>0.0</c:formatCode>
                <c:ptCount val="30"/>
                <c:pt idx="0">
                  <c:v>2.6</c:v>
                </c:pt>
                <c:pt idx="1">
                  <c:v>4</c:v>
                </c:pt>
                <c:pt idx="2">
                  <c:v>5.5</c:v>
                </c:pt>
                <c:pt idx="3">
                  <c:v>5.5</c:v>
                </c:pt>
                <c:pt idx="4">
                  <c:v>5.5</c:v>
                </c:pt>
                <c:pt idx="5">
                  <c:v>5.7</c:v>
                </c:pt>
                <c:pt idx="6">
                  <c:v>7</c:v>
                </c:pt>
                <c:pt idx="7">
                  <c:v>7.2</c:v>
                </c:pt>
                <c:pt idx="8">
                  <c:v>7.3</c:v>
                </c:pt>
                <c:pt idx="9">
                  <c:v>8.8000000000000007</c:v>
                </c:pt>
                <c:pt idx="10">
                  <c:v>9.3000000000000007</c:v>
                </c:pt>
                <c:pt idx="11">
                  <c:v>9.4</c:v>
                </c:pt>
                <c:pt idx="12">
                  <c:v>9.5</c:v>
                </c:pt>
                <c:pt idx="13">
                  <c:v>10.6</c:v>
                </c:pt>
                <c:pt idx="14">
                  <c:v>10.7</c:v>
                </c:pt>
                <c:pt idx="15">
                  <c:v>11</c:v>
                </c:pt>
                <c:pt idx="16">
                  <c:v>11.1</c:v>
                </c:pt>
                <c:pt idx="17">
                  <c:v>11.1</c:v>
                </c:pt>
                <c:pt idx="18">
                  <c:v>11.2</c:v>
                </c:pt>
                <c:pt idx="19">
                  <c:v>11.6</c:v>
                </c:pt>
                <c:pt idx="20">
                  <c:v>11.7</c:v>
                </c:pt>
                <c:pt idx="21">
                  <c:v>12.3</c:v>
                </c:pt>
                <c:pt idx="22">
                  <c:v>12.8</c:v>
                </c:pt>
                <c:pt idx="23">
                  <c:v>13.6</c:v>
                </c:pt>
                <c:pt idx="24">
                  <c:v>14.5</c:v>
                </c:pt>
                <c:pt idx="25">
                  <c:v>14.6</c:v>
                </c:pt>
                <c:pt idx="26">
                  <c:v>14.9</c:v>
                </c:pt>
                <c:pt idx="27">
                  <c:v>15.9</c:v>
                </c:pt>
                <c:pt idx="28">
                  <c:v>17.3</c:v>
                </c:pt>
                <c:pt idx="29">
                  <c:v>18.100000000000001</c:v>
                </c:pt>
              </c:numCache>
            </c:numRef>
          </c:val>
          <c:extLst>
            <c:ext xmlns:c16="http://schemas.microsoft.com/office/drawing/2014/chart" uri="{C3380CC4-5D6E-409C-BE32-E72D297353CC}">
              <c16:uniqueId val="{00000004-9D8F-4F6B-ACB9-D9F10A319B9E}"/>
            </c:ext>
          </c:extLst>
        </c:ser>
        <c:dLbls>
          <c:showLegendKey val="0"/>
          <c:showVal val="0"/>
          <c:showCatName val="0"/>
          <c:showSerName val="0"/>
          <c:showPercent val="0"/>
          <c:showBubbleSize val="0"/>
        </c:dLbls>
        <c:gapWidth val="182"/>
        <c:axId val="520735560"/>
        <c:axId val="520740480"/>
      </c:barChart>
      <c:catAx>
        <c:axId val="52073556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l-GR"/>
          </a:p>
        </c:txPr>
        <c:crossAx val="520740480"/>
        <c:crosses val="autoZero"/>
        <c:auto val="1"/>
        <c:lblAlgn val="ctr"/>
        <c:lblOffset val="100"/>
        <c:noMultiLvlLbl val="0"/>
      </c:catAx>
      <c:valAx>
        <c:axId val="520740480"/>
        <c:scaling>
          <c:orientation val="minMax"/>
        </c:scaling>
        <c:delete val="0"/>
        <c:axPos val="b"/>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52073556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l-GR"/>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l-G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20919471640699869"/>
          <c:y val="2.1728395061728394E-2"/>
          <c:w val="0.76320177041859727"/>
          <c:h val="0.88320917663069898"/>
        </c:manualLayout>
      </c:layout>
      <c:barChart>
        <c:barDir val="bar"/>
        <c:grouping val="clustered"/>
        <c:varyColors val="0"/>
        <c:ser>
          <c:idx val="0"/>
          <c:order val="0"/>
          <c:tx>
            <c:strRef>
              <c:f>Φύλλο1!$B$1</c:f>
              <c:strCache>
                <c:ptCount val="1"/>
                <c:pt idx="0">
                  <c:v>Άμεσο κόστος - σύστημα υγείας</c:v>
                </c:pt>
              </c:strCache>
            </c:strRef>
          </c:tx>
          <c:spPr>
            <a:solidFill>
              <a:schemeClr val="accent1"/>
            </a:solidFill>
            <a:ln>
              <a:noFill/>
            </a:ln>
            <a:effectLst/>
          </c:spPr>
          <c:invertIfNegative val="0"/>
          <c:dPt>
            <c:idx val="10"/>
            <c:invertIfNegative val="0"/>
            <c:bubble3D val="0"/>
            <c:spPr>
              <a:solidFill>
                <a:schemeClr val="accent1">
                  <a:lumMod val="40000"/>
                  <a:lumOff val="60000"/>
                </a:schemeClr>
              </a:solidFill>
              <a:ln>
                <a:noFill/>
              </a:ln>
              <a:effectLst/>
            </c:spPr>
            <c:extLst>
              <c:ext xmlns:c16="http://schemas.microsoft.com/office/drawing/2014/chart" uri="{C3380CC4-5D6E-409C-BE32-E72D297353CC}">
                <c16:uniqueId val="{00000001-980F-4275-A7CB-E7D83C36D4B6}"/>
              </c:ext>
            </c:extLst>
          </c:dPt>
          <c:dPt>
            <c:idx val="17"/>
            <c:invertIfNegative val="0"/>
            <c:bubble3D val="0"/>
            <c:spPr>
              <a:solidFill>
                <a:srgbClr val="4F81BD">
                  <a:lumMod val="60000"/>
                  <a:lumOff val="40000"/>
                </a:srgbClr>
              </a:solidFill>
              <a:ln>
                <a:noFill/>
              </a:ln>
              <a:effectLst/>
            </c:spPr>
            <c:extLst>
              <c:ext xmlns:c16="http://schemas.microsoft.com/office/drawing/2014/chart" uri="{C3380CC4-5D6E-409C-BE32-E72D297353CC}">
                <c16:uniqueId val="{00000003-980F-4275-A7CB-E7D83C36D4B6}"/>
              </c:ext>
            </c:extLst>
          </c:dPt>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mn-lt"/>
                    <a:ea typeface="+mn-ea"/>
                    <a:cs typeface="+mn-cs"/>
                  </a:defRPr>
                </a:pPr>
                <a:endParaRPr lang="el-GR"/>
              </a:p>
            </c:txPr>
            <c:dLblPos val="inBase"/>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Φύλλο1!$A$2:$A$26</c:f>
              <c:strCache>
                <c:ptCount val="25"/>
                <c:pt idx="0">
                  <c:v>Δανία</c:v>
                </c:pt>
                <c:pt idx="1">
                  <c:v>Φινλανδία</c:v>
                </c:pt>
                <c:pt idx="2">
                  <c:v>Ολλανδία</c:v>
                </c:pt>
                <c:pt idx="3">
                  <c:v>Βέλγιο</c:v>
                </c:pt>
                <c:pt idx="4">
                  <c:v>Σουηδία</c:v>
                </c:pt>
                <c:pt idx="5">
                  <c:v>Γερμανία</c:v>
                </c:pt>
                <c:pt idx="6">
                  <c:v>Ισπανία</c:v>
                </c:pt>
                <c:pt idx="7">
                  <c:v>Κροατία</c:v>
                </c:pt>
                <c:pt idx="8">
                  <c:v>Γαλλία</c:v>
                </c:pt>
                <c:pt idx="9">
                  <c:v>Πορτογαλία</c:v>
                </c:pt>
                <c:pt idx="10">
                  <c:v>ΕΕ27</c:v>
                </c:pt>
                <c:pt idx="11">
                  <c:v>Ιταλία</c:v>
                </c:pt>
                <c:pt idx="12">
                  <c:v>Κύπρος</c:v>
                </c:pt>
                <c:pt idx="13">
                  <c:v>Ιρλανδία</c:v>
                </c:pt>
                <c:pt idx="14">
                  <c:v>Λουξεμβούργο</c:v>
                </c:pt>
                <c:pt idx="15">
                  <c:v>Ουγγαρία</c:v>
                </c:pt>
                <c:pt idx="16">
                  <c:v>Πολωνία</c:v>
                </c:pt>
                <c:pt idx="17">
                  <c:v>Ελλάδα</c:v>
                </c:pt>
                <c:pt idx="18">
                  <c:v>Εσθονία</c:v>
                </c:pt>
                <c:pt idx="19">
                  <c:v>Λιθουανία</c:v>
                </c:pt>
                <c:pt idx="20">
                  <c:v>Σλοβακία</c:v>
                </c:pt>
                <c:pt idx="21">
                  <c:v>Τσεχία</c:v>
                </c:pt>
                <c:pt idx="22">
                  <c:v>Βουλγαρία</c:v>
                </c:pt>
                <c:pt idx="23">
                  <c:v>Νορβηγία</c:v>
                </c:pt>
                <c:pt idx="24">
                  <c:v>Ηνωμένο Βασίλειο</c:v>
                </c:pt>
              </c:strCache>
            </c:strRef>
          </c:cat>
          <c:val>
            <c:numRef>
              <c:f>Φύλλο1!$B$2:$B$26</c:f>
              <c:numCache>
                <c:formatCode>0.00%</c:formatCode>
                <c:ptCount val="25"/>
                <c:pt idx="0">
                  <c:v>1.26E-2</c:v>
                </c:pt>
                <c:pt idx="1">
                  <c:v>1.23E-2</c:v>
                </c:pt>
                <c:pt idx="2">
                  <c:v>1.2500000000000001E-2</c:v>
                </c:pt>
                <c:pt idx="3">
                  <c:v>1.3299999999999999E-2</c:v>
                </c:pt>
                <c:pt idx="4">
                  <c:v>1.2699999999999999E-2</c:v>
                </c:pt>
                <c:pt idx="5">
                  <c:v>1.43E-2</c:v>
                </c:pt>
                <c:pt idx="6">
                  <c:v>1.3299999999999999E-2</c:v>
                </c:pt>
                <c:pt idx="7">
                  <c:v>1.18E-2</c:v>
                </c:pt>
                <c:pt idx="8">
                  <c:v>1.34E-2</c:v>
                </c:pt>
                <c:pt idx="9">
                  <c:v>1.14E-2</c:v>
                </c:pt>
                <c:pt idx="10">
                  <c:v>1.1651851851851899E-2</c:v>
                </c:pt>
                <c:pt idx="11">
                  <c:v>1.2200000000000001E-2</c:v>
                </c:pt>
                <c:pt idx="12">
                  <c:v>1.14E-2</c:v>
                </c:pt>
                <c:pt idx="13">
                  <c:v>8.5000000000000006E-3</c:v>
                </c:pt>
                <c:pt idx="14">
                  <c:v>7.9000000000000008E-3</c:v>
                </c:pt>
                <c:pt idx="15">
                  <c:v>1.2800000000000001E-2</c:v>
                </c:pt>
                <c:pt idx="16">
                  <c:v>1.1900000000000001E-2</c:v>
                </c:pt>
                <c:pt idx="17">
                  <c:v>1.2699999999999999E-2</c:v>
                </c:pt>
                <c:pt idx="18">
                  <c:v>1.03E-2</c:v>
                </c:pt>
                <c:pt idx="19">
                  <c:v>9.9000000000000008E-3</c:v>
                </c:pt>
                <c:pt idx="20">
                  <c:v>8.3000000000000001E-3</c:v>
                </c:pt>
                <c:pt idx="21">
                  <c:v>1.0200000000000001E-2</c:v>
                </c:pt>
                <c:pt idx="22">
                  <c:v>9.9000000000000008E-3</c:v>
                </c:pt>
                <c:pt idx="23">
                  <c:v>1.43E-2</c:v>
                </c:pt>
                <c:pt idx="24">
                  <c:v>1.4E-2</c:v>
                </c:pt>
              </c:numCache>
            </c:numRef>
          </c:val>
          <c:extLst>
            <c:ext xmlns:c16="http://schemas.microsoft.com/office/drawing/2014/chart" uri="{C3380CC4-5D6E-409C-BE32-E72D297353CC}">
              <c16:uniqueId val="{00000004-980F-4275-A7CB-E7D83C36D4B6}"/>
            </c:ext>
          </c:extLst>
        </c:ser>
        <c:ser>
          <c:idx val="1"/>
          <c:order val="1"/>
          <c:tx>
            <c:strRef>
              <c:f>Φύλλο1!$C$1</c:f>
              <c:strCache>
                <c:ptCount val="1"/>
                <c:pt idx="0">
                  <c:v>Άμεσο κόστος - Κοινωνικές παροχές/επιδόματα</c:v>
                </c:pt>
              </c:strCache>
            </c:strRef>
          </c:tx>
          <c:spPr>
            <a:solidFill>
              <a:schemeClr val="accent2"/>
            </a:solidFill>
            <a:ln>
              <a:noFill/>
            </a:ln>
            <a:effectLst/>
          </c:spPr>
          <c:invertIfNegative val="0"/>
          <c:dPt>
            <c:idx val="10"/>
            <c:invertIfNegative val="0"/>
            <c:bubble3D val="0"/>
            <c:spPr>
              <a:solidFill>
                <a:srgbClr val="FF0000"/>
              </a:solidFill>
              <a:ln>
                <a:noFill/>
              </a:ln>
              <a:effectLst/>
            </c:spPr>
            <c:extLst>
              <c:ext xmlns:c16="http://schemas.microsoft.com/office/drawing/2014/chart" uri="{C3380CC4-5D6E-409C-BE32-E72D297353CC}">
                <c16:uniqueId val="{00000006-980F-4275-A7CB-E7D83C36D4B6}"/>
              </c:ext>
            </c:extLst>
          </c:dPt>
          <c:dPt>
            <c:idx val="17"/>
            <c:invertIfNegative val="0"/>
            <c:bubble3D val="0"/>
            <c:spPr>
              <a:solidFill>
                <a:srgbClr val="FF0000"/>
              </a:solidFill>
              <a:ln>
                <a:noFill/>
              </a:ln>
              <a:effectLst/>
            </c:spPr>
            <c:extLst>
              <c:ext xmlns:c16="http://schemas.microsoft.com/office/drawing/2014/chart" uri="{C3380CC4-5D6E-409C-BE32-E72D297353CC}">
                <c16:uniqueId val="{00000008-980F-4275-A7CB-E7D83C36D4B6}"/>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l-G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Φύλλο1!$A$2:$A$26</c:f>
              <c:strCache>
                <c:ptCount val="25"/>
                <c:pt idx="0">
                  <c:v>Δανία</c:v>
                </c:pt>
                <c:pt idx="1">
                  <c:v>Φινλανδία</c:v>
                </c:pt>
                <c:pt idx="2">
                  <c:v>Ολλανδία</c:v>
                </c:pt>
                <c:pt idx="3">
                  <c:v>Βέλγιο</c:v>
                </c:pt>
                <c:pt idx="4">
                  <c:v>Σουηδία</c:v>
                </c:pt>
                <c:pt idx="5">
                  <c:v>Γερμανία</c:v>
                </c:pt>
                <c:pt idx="6">
                  <c:v>Ισπανία</c:v>
                </c:pt>
                <c:pt idx="7">
                  <c:v>Κροατία</c:v>
                </c:pt>
                <c:pt idx="8">
                  <c:v>Γαλλία</c:v>
                </c:pt>
                <c:pt idx="9">
                  <c:v>Πορτογαλία</c:v>
                </c:pt>
                <c:pt idx="10">
                  <c:v>ΕΕ27</c:v>
                </c:pt>
                <c:pt idx="11">
                  <c:v>Ιταλία</c:v>
                </c:pt>
                <c:pt idx="12">
                  <c:v>Κύπρος</c:v>
                </c:pt>
                <c:pt idx="13">
                  <c:v>Ιρλανδία</c:v>
                </c:pt>
                <c:pt idx="14">
                  <c:v>Λουξεμβούργο</c:v>
                </c:pt>
                <c:pt idx="15">
                  <c:v>Ουγγαρία</c:v>
                </c:pt>
                <c:pt idx="16">
                  <c:v>Πολωνία</c:v>
                </c:pt>
                <c:pt idx="17">
                  <c:v>Ελλάδα</c:v>
                </c:pt>
                <c:pt idx="18">
                  <c:v>Εσθονία</c:v>
                </c:pt>
                <c:pt idx="19">
                  <c:v>Λιθουανία</c:v>
                </c:pt>
                <c:pt idx="20">
                  <c:v>Σλοβακία</c:v>
                </c:pt>
                <c:pt idx="21">
                  <c:v>Τσεχία</c:v>
                </c:pt>
                <c:pt idx="22">
                  <c:v>Βουλγαρία</c:v>
                </c:pt>
                <c:pt idx="23">
                  <c:v>Νορβηγία</c:v>
                </c:pt>
                <c:pt idx="24">
                  <c:v>Ηνωμένο Βασίλειο</c:v>
                </c:pt>
              </c:strCache>
            </c:strRef>
          </c:cat>
          <c:val>
            <c:numRef>
              <c:f>Φύλλο1!$C$2:$C$26</c:f>
              <c:numCache>
                <c:formatCode>0.00%</c:formatCode>
                <c:ptCount val="25"/>
                <c:pt idx="0">
                  <c:v>2.0500000000000001E-2</c:v>
                </c:pt>
                <c:pt idx="1">
                  <c:v>1.8499999999999999E-2</c:v>
                </c:pt>
                <c:pt idx="2">
                  <c:v>1.6199999999999999E-2</c:v>
                </c:pt>
                <c:pt idx="3">
                  <c:v>1.4200000000000001E-2</c:v>
                </c:pt>
                <c:pt idx="4">
                  <c:v>1.6799999999999999E-2</c:v>
                </c:pt>
                <c:pt idx="5">
                  <c:v>1.35E-2</c:v>
                </c:pt>
                <c:pt idx="6">
                  <c:v>1.14E-2</c:v>
                </c:pt>
                <c:pt idx="7">
                  <c:v>1.21E-2</c:v>
                </c:pt>
                <c:pt idx="8">
                  <c:v>1.2E-2</c:v>
                </c:pt>
                <c:pt idx="9">
                  <c:v>9.1999999999999998E-3</c:v>
                </c:pt>
                <c:pt idx="10">
                  <c:v>1.0207407407407399E-2</c:v>
                </c:pt>
                <c:pt idx="11">
                  <c:v>9.5999999999999992E-3</c:v>
                </c:pt>
                <c:pt idx="12">
                  <c:v>8.0999999999999996E-3</c:v>
                </c:pt>
                <c:pt idx="13">
                  <c:v>7.1999999999999998E-3</c:v>
                </c:pt>
                <c:pt idx="14">
                  <c:v>1.35E-2</c:v>
                </c:pt>
                <c:pt idx="15">
                  <c:v>6.4000000000000003E-3</c:v>
                </c:pt>
                <c:pt idx="16">
                  <c:v>7.4999999999999997E-3</c:v>
                </c:pt>
                <c:pt idx="17">
                  <c:v>8.2000000000000007E-3</c:v>
                </c:pt>
                <c:pt idx="18">
                  <c:v>8.2000000000000007E-3</c:v>
                </c:pt>
                <c:pt idx="19">
                  <c:v>7.1000000000000004E-3</c:v>
                </c:pt>
                <c:pt idx="20">
                  <c:v>7.6E-3</c:v>
                </c:pt>
                <c:pt idx="21">
                  <c:v>6.1999999999999998E-3</c:v>
                </c:pt>
                <c:pt idx="22">
                  <c:v>6.6E-3</c:v>
                </c:pt>
                <c:pt idx="23">
                  <c:v>1.83E-2</c:v>
                </c:pt>
                <c:pt idx="24">
                  <c:v>8.6999999999999994E-3</c:v>
                </c:pt>
              </c:numCache>
            </c:numRef>
          </c:val>
          <c:extLst>
            <c:ext xmlns:c16="http://schemas.microsoft.com/office/drawing/2014/chart" uri="{C3380CC4-5D6E-409C-BE32-E72D297353CC}">
              <c16:uniqueId val="{00000009-980F-4275-A7CB-E7D83C36D4B6}"/>
            </c:ext>
          </c:extLst>
        </c:ser>
        <c:ser>
          <c:idx val="2"/>
          <c:order val="2"/>
          <c:tx>
            <c:strRef>
              <c:f>Φύλλο1!$D$1</c:f>
              <c:strCache>
                <c:ptCount val="1"/>
                <c:pt idx="0">
                  <c:v>Έμμεσα κόστη</c:v>
                </c:pt>
              </c:strCache>
            </c:strRef>
          </c:tx>
          <c:spPr>
            <a:solidFill>
              <a:schemeClr val="accent3"/>
            </a:solidFill>
            <a:ln>
              <a:noFill/>
            </a:ln>
            <a:effectLst/>
          </c:spPr>
          <c:invertIfNegative val="0"/>
          <c:dPt>
            <c:idx val="10"/>
            <c:invertIfNegative val="0"/>
            <c:bubble3D val="0"/>
            <c:spPr>
              <a:solidFill>
                <a:srgbClr val="00B050"/>
              </a:solidFill>
              <a:ln>
                <a:noFill/>
              </a:ln>
              <a:effectLst/>
            </c:spPr>
            <c:extLst>
              <c:ext xmlns:c16="http://schemas.microsoft.com/office/drawing/2014/chart" uri="{C3380CC4-5D6E-409C-BE32-E72D297353CC}">
                <c16:uniqueId val="{0000000B-980F-4275-A7CB-E7D83C36D4B6}"/>
              </c:ext>
            </c:extLst>
          </c:dPt>
          <c:dPt>
            <c:idx val="17"/>
            <c:invertIfNegative val="0"/>
            <c:bubble3D val="0"/>
            <c:spPr>
              <a:solidFill>
                <a:srgbClr val="00B050"/>
              </a:solidFill>
              <a:ln>
                <a:noFill/>
              </a:ln>
              <a:effectLst/>
            </c:spPr>
            <c:extLst>
              <c:ext xmlns:c16="http://schemas.microsoft.com/office/drawing/2014/chart" uri="{C3380CC4-5D6E-409C-BE32-E72D297353CC}">
                <c16:uniqueId val="{0000000D-980F-4275-A7CB-E7D83C36D4B6}"/>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l-G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Φύλλο1!$A$2:$A$26</c:f>
              <c:strCache>
                <c:ptCount val="25"/>
                <c:pt idx="0">
                  <c:v>Δανία</c:v>
                </c:pt>
                <c:pt idx="1">
                  <c:v>Φινλανδία</c:v>
                </c:pt>
                <c:pt idx="2">
                  <c:v>Ολλανδία</c:v>
                </c:pt>
                <c:pt idx="3">
                  <c:v>Βέλγιο</c:v>
                </c:pt>
                <c:pt idx="4">
                  <c:v>Σουηδία</c:v>
                </c:pt>
                <c:pt idx="5">
                  <c:v>Γερμανία</c:v>
                </c:pt>
                <c:pt idx="6">
                  <c:v>Ισπανία</c:v>
                </c:pt>
                <c:pt idx="7">
                  <c:v>Κροατία</c:v>
                </c:pt>
                <c:pt idx="8">
                  <c:v>Γαλλία</c:v>
                </c:pt>
                <c:pt idx="9">
                  <c:v>Πορτογαλία</c:v>
                </c:pt>
                <c:pt idx="10">
                  <c:v>ΕΕ27</c:v>
                </c:pt>
                <c:pt idx="11">
                  <c:v>Ιταλία</c:v>
                </c:pt>
                <c:pt idx="12">
                  <c:v>Κύπρος</c:v>
                </c:pt>
                <c:pt idx="13">
                  <c:v>Ιρλανδία</c:v>
                </c:pt>
                <c:pt idx="14">
                  <c:v>Λουξεμβούργο</c:v>
                </c:pt>
                <c:pt idx="15">
                  <c:v>Ουγγαρία</c:v>
                </c:pt>
                <c:pt idx="16">
                  <c:v>Πολωνία</c:v>
                </c:pt>
                <c:pt idx="17">
                  <c:v>Ελλάδα</c:v>
                </c:pt>
                <c:pt idx="18">
                  <c:v>Εσθονία</c:v>
                </c:pt>
                <c:pt idx="19">
                  <c:v>Λιθουανία</c:v>
                </c:pt>
                <c:pt idx="20">
                  <c:v>Σλοβακία</c:v>
                </c:pt>
                <c:pt idx="21">
                  <c:v>Τσεχία</c:v>
                </c:pt>
                <c:pt idx="22">
                  <c:v>Βουλγαρία</c:v>
                </c:pt>
                <c:pt idx="23">
                  <c:v>Νορβηγία</c:v>
                </c:pt>
                <c:pt idx="24">
                  <c:v>Ηνωμένο Βασίλειο</c:v>
                </c:pt>
              </c:strCache>
            </c:strRef>
          </c:cat>
          <c:val>
            <c:numRef>
              <c:f>Φύλλο1!$D$2:$D$26</c:f>
              <c:numCache>
                <c:formatCode>0.00%</c:formatCode>
                <c:ptCount val="25"/>
                <c:pt idx="0">
                  <c:v>2.07E-2</c:v>
                </c:pt>
                <c:pt idx="1">
                  <c:v>2.23E-2</c:v>
                </c:pt>
                <c:pt idx="2">
                  <c:v>2.2499999999999999E-2</c:v>
                </c:pt>
                <c:pt idx="3">
                  <c:v>2.3E-2</c:v>
                </c:pt>
                <c:pt idx="4">
                  <c:v>1.8800000000000001E-2</c:v>
                </c:pt>
                <c:pt idx="5">
                  <c:v>2.0400000000000001E-2</c:v>
                </c:pt>
                <c:pt idx="6">
                  <c:v>1.7000000000000001E-2</c:v>
                </c:pt>
                <c:pt idx="7">
                  <c:v>1.6299999999999999E-2</c:v>
                </c:pt>
                <c:pt idx="8">
                  <c:v>1.17E-2</c:v>
                </c:pt>
                <c:pt idx="9">
                  <c:v>1.6E-2</c:v>
                </c:pt>
                <c:pt idx="10">
                  <c:v>1.4437037037037E-2</c:v>
                </c:pt>
                <c:pt idx="11">
                  <c:v>1.12E-2</c:v>
                </c:pt>
                <c:pt idx="12">
                  <c:v>1.2500000000000001E-2</c:v>
                </c:pt>
                <c:pt idx="13">
                  <c:v>1.5900000000000001E-2</c:v>
                </c:pt>
                <c:pt idx="14">
                  <c:v>0.01</c:v>
                </c:pt>
                <c:pt idx="15">
                  <c:v>1.2E-2</c:v>
                </c:pt>
                <c:pt idx="16">
                  <c:v>1.0699999999999999E-2</c:v>
                </c:pt>
                <c:pt idx="17">
                  <c:v>9.1999999999999998E-3</c:v>
                </c:pt>
                <c:pt idx="18">
                  <c:v>9.5999999999999992E-3</c:v>
                </c:pt>
                <c:pt idx="19">
                  <c:v>9.4000000000000004E-3</c:v>
                </c:pt>
                <c:pt idx="20">
                  <c:v>1.0200000000000001E-2</c:v>
                </c:pt>
                <c:pt idx="21">
                  <c:v>8.0999999999999996E-3</c:v>
                </c:pt>
                <c:pt idx="22">
                  <c:v>7.1000000000000004E-3</c:v>
                </c:pt>
                <c:pt idx="23">
                  <c:v>1.7100000000000001E-2</c:v>
                </c:pt>
                <c:pt idx="24">
                  <c:v>1.7999999999999999E-2</c:v>
                </c:pt>
              </c:numCache>
            </c:numRef>
          </c:val>
          <c:extLst>
            <c:ext xmlns:c16="http://schemas.microsoft.com/office/drawing/2014/chart" uri="{C3380CC4-5D6E-409C-BE32-E72D297353CC}">
              <c16:uniqueId val="{0000000E-980F-4275-A7CB-E7D83C36D4B6}"/>
            </c:ext>
          </c:extLst>
        </c:ser>
        <c:dLbls>
          <c:showLegendKey val="0"/>
          <c:showVal val="0"/>
          <c:showCatName val="0"/>
          <c:showSerName val="0"/>
          <c:showPercent val="0"/>
          <c:showBubbleSize val="0"/>
        </c:dLbls>
        <c:gapWidth val="150"/>
        <c:axId val="530127144"/>
        <c:axId val="530124192"/>
      </c:barChart>
      <c:catAx>
        <c:axId val="53012714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l-GR"/>
          </a:p>
        </c:txPr>
        <c:crossAx val="530124192"/>
        <c:crosses val="autoZero"/>
        <c:auto val="1"/>
        <c:lblAlgn val="ctr"/>
        <c:lblOffset val="100"/>
        <c:noMultiLvlLbl val="0"/>
      </c:catAx>
      <c:valAx>
        <c:axId val="530124192"/>
        <c:scaling>
          <c:orientation val="minMax"/>
        </c:scaling>
        <c:delete val="1"/>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crossAx val="530127144"/>
        <c:crosses val="autoZero"/>
        <c:crossBetween val="between"/>
      </c:valAx>
      <c:spPr>
        <a:noFill/>
        <a:ln>
          <a:noFill/>
        </a:ln>
        <a:effectLst/>
      </c:spPr>
    </c:plotArea>
    <c:legend>
      <c:legendPos val="b"/>
      <c:layout>
        <c:manualLayout>
          <c:xMode val="edge"/>
          <c:yMode val="edge"/>
          <c:x val="5.8802398759126254E-2"/>
          <c:y val="0.91276725964809957"/>
          <c:w val="0.88767306533358359"/>
          <c:h val="7.592996290310873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legend>
    <c:plotVisOnly val="1"/>
    <c:dispBlanksAs val="gap"/>
    <c:showDLblsOverMax val="0"/>
  </c:chart>
  <c:spPr>
    <a:solidFill>
      <a:schemeClr val="bg1"/>
    </a:solidFill>
    <a:ln w="9525" cap="flat" cmpd="sng" algn="ctr">
      <a:noFill/>
      <a:round/>
    </a:ln>
    <a:effectLst/>
  </c:spPr>
  <c:txPr>
    <a:bodyPr/>
    <a:lstStyle/>
    <a:p>
      <a:pPr>
        <a:defRPr/>
      </a:pPr>
      <a:endParaRPr lang="el-GR"/>
    </a:p>
  </c:txPr>
  <c:externalData r:id="rId4">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l-G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Φύλλο1!$B$1</c:f>
              <c:strCache>
                <c:ptCount val="1"/>
                <c:pt idx="0">
                  <c:v>Σειρά 1</c:v>
                </c:pt>
              </c:strCache>
            </c:strRef>
          </c:tx>
          <c:spPr>
            <a:solidFill>
              <a:schemeClr val="accent1"/>
            </a:solidFill>
            <a:ln>
              <a:noFill/>
            </a:ln>
            <a:effectLst/>
          </c:spPr>
          <c:invertIfNegative val="0"/>
          <c:dPt>
            <c:idx val="4"/>
            <c:invertIfNegative val="0"/>
            <c:bubble3D val="0"/>
            <c:spPr>
              <a:solidFill>
                <a:srgbClr val="FF0000"/>
              </a:solidFill>
              <a:ln>
                <a:noFill/>
              </a:ln>
              <a:effectLst/>
            </c:spPr>
            <c:extLst>
              <c:ext xmlns:c16="http://schemas.microsoft.com/office/drawing/2014/chart" uri="{C3380CC4-5D6E-409C-BE32-E72D297353CC}">
                <c16:uniqueId val="{00000003-F217-4222-9CF5-D6ADD1BE33C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l-G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Φύλλο1!$A$2:$A$21</c:f>
              <c:strCache>
                <c:ptCount val="20"/>
                <c:pt idx="0">
                  <c:v>Χιλή</c:v>
                </c:pt>
                <c:pt idx="1">
                  <c:v>Εσθονία</c:v>
                </c:pt>
                <c:pt idx="2">
                  <c:v>Ιταλία</c:v>
                </c:pt>
                <c:pt idx="3">
                  <c:v>Κορέα</c:v>
                </c:pt>
                <c:pt idx="4">
                  <c:v>Ελλάδα</c:v>
                </c:pt>
                <c:pt idx="5">
                  <c:v>Τσεχία</c:v>
                </c:pt>
                <c:pt idx="6">
                  <c:v>Εσθονία</c:v>
                </c:pt>
                <c:pt idx="7">
                  <c:v>Πολωνία</c:v>
                </c:pt>
                <c:pt idx="8">
                  <c:v>Λιθουανία</c:v>
                </c:pt>
                <c:pt idx="9">
                  <c:v>Φινλανδία</c:v>
                </c:pt>
                <c:pt idx="10">
                  <c:v>Ισλανδία</c:v>
                </c:pt>
                <c:pt idx="11">
                  <c:v>Ιαπωνία</c:v>
                </c:pt>
                <c:pt idx="12">
                  <c:v>Νέα Ζηλανδία</c:v>
                </c:pt>
                <c:pt idx="13">
                  <c:v>Αυστραλία</c:v>
                </c:pt>
                <c:pt idx="14">
                  <c:v>Ολλανδία</c:v>
                </c:pt>
                <c:pt idx="15">
                  <c:v>Σουηδία</c:v>
                </c:pt>
                <c:pt idx="16">
                  <c:v>Καναδάς</c:v>
                </c:pt>
                <c:pt idx="17">
                  <c:v>Γερμανία</c:v>
                </c:pt>
                <c:pt idx="18">
                  <c:v>Νορβηγία</c:v>
                </c:pt>
                <c:pt idx="19">
                  <c:v>Γαλλία</c:v>
                </c:pt>
              </c:strCache>
            </c:strRef>
          </c:cat>
          <c:val>
            <c:numRef>
              <c:f>Φύλλο1!$B$2:$B$21</c:f>
              <c:numCache>
                <c:formatCode>General</c:formatCode>
                <c:ptCount val="20"/>
                <c:pt idx="0">
                  <c:v>2.1</c:v>
                </c:pt>
                <c:pt idx="1">
                  <c:v>2.5</c:v>
                </c:pt>
                <c:pt idx="2">
                  <c:v>3.5</c:v>
                </c:pt>
                <c:pt idx="3">
                  <c:v>3.8</c:v>
                </c:pt>
                <c:pt idx="4">
                  <c:v>3.9</c:v>
                </c:pt>
                <c:pt idx="5">
                  <c:v>4</c:v>
                </c:pt>
                <c:pt idx="6">
                  <c:v>4</c:v>
                </c:pt>
                <c:pt idx="7">
                  <c:v>4.4000000000000004</c:v>
                </c:pt>
                <c:pt idx="8">
                  <c:v>4.9000000000000004</c:v>
                </c:pt>
                <c:pt idx="9">
                  <c:v>5.6</c:v>
                </c:pt>
                <c:pt idx="10">
                  <c:v>5.7</c:v>
                </c:pt>
                <c:pt idx="11">
                  <c:v>6.2</c:v>
                </c:pt>
                <c:pt idx="12">
                  <c:v>7</c:v>
                </c:pt>
                <c:pt idx="13">
                  <c:v>7.6</c:v>
                </c:pt>
                <c:pt idx="14">
                  <c:v>8.3000000000000007</c:v>
                </c:pt>
                <c:pt idx="15">
                  <c:v>9</c:v>
                </c:pt>
                <c:pt idx="16">
                  <c:v>10.6</c:v>
                </c:pt>
                <c:pt idx="17">
                  <c:v>11.27</c:v>
                </c:pt>
                <c:pt idx="18">
                  <c:v>13.5</c:v>
                </c:pt>
                <c:pt idx="19">
                  <c:v>15</c:v>
                </c:pt>
              </c:numCache>
            </c:numRef>
          </c:val>
          <c:extLst>
            <c:ext xmlns:c16="http://schemas.microsoft.com/office/drawing/2014/chart" uri="{C3380CC4-5D6E-409C-BE32-E72D297353CC}">
              <c16:uniqueId val="{00000000-F217-4222-9CF5-D6ADD1BE33C9}"/>
            </c:ext>
          </c:extLst>
        </c:ser>
        <c:dLbls>
          <c:showLegendKey val="0"/>
          <c:showVal val="0"/>
          <c:showCatName val="0"/>
          <c:showSerName val="0"/>
          <c:showPercent val="0"/>
          <c:showBubbleSize val="0"/>
        </c:dLbls>
        <c:gapWidth val="182"/>
        <c:axId val="598120160"/>
        <c:axId val="598106384"/>
      </c:barChart>
      <c:catAx>
        <c:axId val="59812016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l-GR"/>
          </a:p>
        </c:txPr>
        <c:crossAx val="598106384"/>
        <c:crosses val="autoZero"/>
        <c:auto val="1"/>
        <c:lblAlgn val="ctr"/>
        <c:lblOffset val="100"/>
        <c:noMultiLvlLbl val="0"/>
      </c:catAx>
      <c:valAx>
        <c:axId val="59810638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598120160"/>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l-GR"/>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l-G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Φύλλο1!$B$1</c:f>
              <c:strCache>
                <c:ptCount val="1"/>
                <c:pt idx="0">
                  <c:v>2009</c:v>
                </c:pt>
              </c:strCache>
            </c:strRef>
          </c:tx>
          <c:spPr>
            <a:solidFill>
              <a:schemeClr val="accent1"/>
            </a:solidFill>
            <a:ln>
              <a:noFill/>
            </a:ln>
            <a:effectLst/>
          </c:spPr>
          <c:invertIfNegative val="0"/>
          <c:dPt>
            <c:idx val="16"/>
            <c:invertIfNegative val="0"/>
            <c:bubble3D val="0"/>
            <c:spPr>
              <a:solidFill>
                <a:schemeClr val="accent1">
                  <a:lumMod val="60000"/>
                  <a:lumOff val="40000"/>
                </a:schemeClr>
              </a:solidFill>
              <a:ln>
                <a:noFill/>
              </a:ln>
              <a:effectLst/>
            </c:spPr>
            <c:extLst>
              <c:ext xmlns:c16="http://schemas.microsoft.com/office/drawing/2014/chart" uri="{C3380CC4-5D6E-409C-BE32-E72D297353CC}">
                <c16:uniqueId val="{00000006-9674-4DFA-9F38-320353CD490A}"/>
              </c:ext>
            </c:extLst>
          </c:dPt>
          <c:dPt>
            <c:idx val="28"/>
            <c:invertIfNegative val="0"/>
            <c:bubble3D val="0"/>
            <c:spPr>
              <a:solidFill>
                <a:schemeClr val="accent1">
                  <a:lumMod val="60000"/>
                  <a:lumOff val="40000"/>
                </a:schemeClr>
              </a:solidFill>
              <a:ln>
                <a:noFill/>
              </a:ln>
              <a:effectLst/>
            </c:spPr>
            <c:extLst>
              <c:ext xmlns:c16="http://schemas.microsoft.com/office/drawing/2014/chart" uri="{C3380CC4-5D6E-409C-BE32-E72D297353CC}">
                <c16:uniqueId val="{00000005-9674-4DFA-9F38-320353CD490A}"/>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l-GR"/>
              </a:p>
            </c:txPr>
            <c:dLblPos val="inBase"/>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Φύλλο1!$A$2:$A$33</c:f>
              <c:strCache>
                <c:ptCount val="32"/>
                <c:pt idx="0">
                  <c:v>Μεξικό</c:v>
                </c:pt>
                <c:pt idx="1">
                  <c:v>Τουρκία</c:v>
                </c:pt>
                <c:pt idx="2">
                  <c:v>Κορέα</c:v>
                </c:pt>
                <c:pt idx="3">
                  <c:v>Πολωνία</c:v>
                </c:pt>
                <c:pt idx="4">
                  <c:v>Χιλή</c:v>
                </c:pt>
                <c:pt idx="5">
                  <c:v>Ισπανία</c:v>
                </c:pt>
                <c:pt idx="6">
                  <c:v>Ιαπωνία</c:v>
                </c:pt>
                <c:pt idx="7">
                  <c:v>Πορτογαλία</c:v>
                </c:pt>
                <c:pt idx="8">
                  <c:v>ΗΠΑ</c:v>
                </c:pt>
                <c:pt idx="9">
                  <c:v>Τσεχία</c:v>
                </c:pt>
                <c:pt idx="10">
                  <c:v>Σλοβενία</c:v>
                </c:pt>
                <c:pt idx="11">
                  <c:v>Ισραήλ</c:v>
                </c:pt>
                <c:pt idx="12">
                  <c:v>Αυστραλία</c:v>
                </c:pt>
                <c:pt idx="13">
                  <c:v>Ιταλία</c:v>
                </c:pt>
                <c:pt idx="14">
                  <c:v>Αυστρία</c:v>
                </c:pt>
                <c:pt idx="15">
                  <c:v>Καναδάς</c:v>
                </c:pt>
                <c:pt idx="16">
                  <c:v>ΟΟΣΑ</c:v>
                </c:pt>
                <c:pt idx="17">
                  <c:v>Δανία</c:v>
                </c:pt>
                <c:pt idx="18">
                  <c:v>Ιρλανδία</c:v>
                </c:pt>
                <c:pt idx="19">
                  <c:v>Νέα Ζηλανδία</c:v>
                </c:pt>
                <c:pt idx="20">
                  <c:v>Ην.Βασίλειο</c:v>
                </c:pt>
                <c:pt idx="21">
                  <c:v>Ισλανδία</c:v>
                </c:pt>
                <c:pt idx="22">
                  <c:v>Λουξεμβούργο</c:v>
                </c:pt>
                <c:pt idx="23">
                  <c:v>Γαλλία</c:v>
                </c:pt>
                <c:pt idx="24">
                  <c:v>Λιθουανία</c:v>
                </c:pt>
                <c:pt idx="25">
                  <c:v>Σουηδία</c:v>
                </c:pt>
                <c:pt idx="26">
                  <c:v>Φινλανδία</c:v>
                </c:pt>
                <c:pt idx="27">
                  <c:v>Ολλανδία</c:v>
                </c:pt>
                <c:pt idx="28">
                  <c:v>Ελλάδα</c:v>
                </c:pt>
                <c:pt idx="29">
                  <c:v>Νορβηγία</c:v>
                </c:pt>
                <c:pt idx="30">
                  <c:v>Γερμανία</c:v>
                </c:pt>
                <c:pt idx="31">
                  <c:v>Σουηδία</c:v>
                </c:pt>
              </c:strCache>
            </c:strRef>
          </c:cat>
          <c:val>
            <c:numRef>
              <c:f>Φύλλο1!$B$2:$B$33</c:f>
              <c:numCache>
                <c:formatCode>General</c:formatCode>
                <c:ptCount val="32"/>
                <c:pt idx="0">
                  <c:v>0.01</c:v>
                </c:pt>
                <c:pt idx="1">
                  <c:v>0.04</c:v>
                </c:pt>
                <c:pt idx="2">
                  <c:v>0.05</c:v>
                </c:pt>
                <c:pt idx="3">
                  <c:v>0.09</c:v>
                </c:pt>
                <c:pt idx="4">
                  <c:v>0.02</c:v>
                </c:pt>
                <c:pt idx="5">
                  <c:v>0.08</c:v>
                </c:pt>
                <c:pt idx="6">
                  <c:v>0.11</c:v>
                </c:pt>
                <c:pt idx="7">
                  <c:v>0.1</c:v>
                </c:pt>
                <c:pt idx="8">
                  <c:v>0.15</c:v>
                </c:pt>
                <c:pt idx="9">
                  <c:v>0.14000000000000001</c:v>
                </c:pt>
                <c:pt idx="10">
                  <c:v>0.1</c:v>
                </c:pt>
                <c:pt idx="11">
                  <c:v>0.18</c:v>
                </c:pt>
                <c:pt idx="12">
                  <c:v>0.16</c:v>
                </c:pt>
                <c:pt idx="13">
                  <c:v>0.18</c:v>
                </c:pt>
                <c:pt idx="14">
                  <c:v>0.14000000000000001</c:v>
                </c:pt>
                <c:pt idx="15">
                  <c:v>0.15</c:v>
                </c:pt>
                <c:pt idx="16" formatCode="0.00">
                  <c:v>0.156470588235294</c:v>
                </c:pt>
                <c:pt idx="17">
                  <c:v>0.18</c:v>
                </c:pt>
                <c:pt idx="18">
                  <c:v>0.14000000000000001</c:v>
                </c:pt>
                <c:pt idx="19">
                  <c:v>0.15</c:v>
                </c:pt>
                <c:pt idx="20">
                  <c:v>0.19</c:v>
                </c:pt>
                <c:pt idx="21">
                  <c:v>0.24</c:v>
                </c:pt>
                <c:pt idx="22">
                  <c:v>0.18</c:v>
                </c:pt>
                <c:pt idx="23">
                  <c:v>0.21</c:v>
                </c:pt>
                <c:pt idx="24">
                  <c:v>0.17</c:v>
                </c:pt>
                <c:pt idx="25">
                  <c:v>0.21</c:v>
                </c:pt>
                <c:pt idx="26">
                  <c:v>0.22</c:v>
                </c:pt>
                <c:pt idx="27">
                  <c:v>0.2</c:v>
                </c:pt>
                <c:pt idx="28">
                  <c:v>0.16</c:v>
                </c:pt>
                <c:pt idx="29">
                  <c:v>0.22</c:v>
                </c:pt>
                <c:pt idx="30">
                  <c:v>0.25</c:v>
                </c:pt>
                <c:pt idx="31">
                  <c:v>0.42</c:v>
                </c:pt>
              </c:numCache>
            </c:numRef>
          </c:val>
          <c:extLst>
            <c:ext xmlns:c16="http://schemas.microsoft.com/office/drawing/2014/chart" uri="{C3380CC4-5D6E-409C-BE32-E72D297353CC}">
              <c16:uniqueId val="{00000000-9674-4DFA-9F38-320353CD490A}"/>
            </c:ext>
          </c:extLst>
        </c:ser>
        <c:ser>
          <c:idx val="1"/>
          <c:order val="1"/>
          <c:tx>
            <c:strRef>
              <c:f>Φύλλο1!$C$1</c:f>
              <c:strCache>
                <c:ptCount val="1"/>
                <c:pt idx="0">
                  <c:v>2019 ή για το κοντινότερο έτος</c:v>
                </c:pt>
              </c:strCache>
            </c:strRef>
          </c:tx>
          <c:spPr>
            <a:solidFill>
              <a:schemeClr val="accent2"/>
            </a:solidFill>
            <a:ln>
              <a:noFill/>
            </a:ln>
            <a:effectLst/>
          </c:spPr>
          <c:invertIfNegative val="0"/>
          <c:dPt>
            <c:idx val="16"/>
            <c:invertIfNegative val="0"/>
            <c:bubble3D val="0"/>
            <c:spPr>
              <a:solidFill>
                <a:srgbClr val="FF0000"/>
              </a:solidFill>
              <a:ln>
                <a:noFill/>
              </a:ln>
              <a:effectLst/>
            </c:spPr>
            <c:extLst>
              <c:ext xmlns:c16="http://schemas.microsoft.com/office/drawing/2014/chart" uri="{C3380CC4-5D6E-409C-BE32-E72D297353CC}">
                <c16:uniqueId val="{00000003-9674-4DFA-9F38-320353CD490A}"/>
              </c:ext>
            </c:extLst>
          </c:dPt>
          <c:dPt>
            <c:idx val="28"/>
            <c:invertIfNegative val="0"/>
            <c:bubble3D val="0"/>
            <c:spPr>
              <a:solidFill>
                <a:srgbClr val="FF0000"/>
              </a:solidFill>
              <a:ln>
                <a:noFill/>
              </a:ln>
              <a:effectLst/>
            </c:spPr>
            <c:extLst>
              <c:ext xmlns:c16="http://schemas.microsoft.com/office/drawing/2014/chart" uri="{C3380CC4-5D6E-409C-BE32-E72D297353CC}">
                <c16:uniqueId val="{00000004-9674-4DFA-9F38-320353CD490A}"/>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l-G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Φύλλο1!$A$2:$A$33</c:f>
              <c:strCache>
                <c:ptCount val="32"/>
                <c:pt idx="0">
                  <c:v>Μεξικό</c:v>
                </c:pt>
                <c:pt idx="1">
                  <c:v>Τουρκία</c:v>
                </c:pt>
                <c:pt idx="2">
                  <c:v>Κορέα</c:v>
                </c:pt>
                <c:pt idx="3">
                  <c:v>Πολωνία</c:v>
                </c:pt>
                <c:pt idx="4">
                  <c:v>Χιλή</c:v>
                </c:pt>
                <c:pt idx="5">
                  <c:v>Ισπανία</c:v>
                </c:pt>
                <c:pt idx="6">
                  <c:v>Ιαπωνία</c:v>
                </c:pt>
                <c:pt idx="7">
                  <c:v>Πορτογαλία</c:v>
                </c:pt>
                <c:pt idx="8">
                  <c:v>ΗΠΑ</c:v>
                </c:pt>
                <c:pt idx="9">
                  <c:v>Τσεχία</c:v>
                </c:pt>
                <c:pt idx="10">
                  <c:v>Σλοβενία</c:v>
                </c:pt>
                <c:pt idx="11">
                  <c:v>Ισραήλ</c:v>
                </c:pt>
                <c:pt idx="12">
                  <c:v>Αυστραλία</c:v>
                </c:pt>
                <c:pt idx="13">
                  <c:v>Ιταλία</c:v>
                </c:pt>
                <c:pt idx="14">
                  <c:v>Αυστρία</c:v>
                </c:pt>
                <c:pt idx="15">
                  <c:v>Καναδάς</c:v>
                </c:pt>
                <c:pt idx="16">
                  <c:v>ΟΟΣΑ</c:v>
                </c:pt>
                <c:pt idx="17">
                  <c:v>Δανία</c:v>
                </c:pt>
                <c:pt idx="18">
                  <c:v>Ιρλανδία</c:v>
                </c:pt>
                <c:pt idx="19">
                  <c:v>Νέα Ζηλανδία</c:v>
                </c:pt>
                <c:pt idx="20">
                  <c:v>Ην.Βασίλειο</c:v>
                </c:pt>
                <c:pt idx="21">
                  <c:v>Ισλανδία</c:v>
                </c:pt>
                <c:pt idx="22">
                  <c:v>Λουξεμβούργο</c:v>
                </c:pt>
                <c:pt idx="23">
                  <c:v>Γαλλία</c:v>
                </c:pt>
                <c:pt idx="24">
                  <c:v>Λιθουανία</c:v>
                </c:pt>
                <c:pt idx="25">
                  <c:v>Σουηδία</c:v>
                </c:pt>
                <c:pt idx="26">
                  <c:v>Φινλανδία</c:v>
                </c:pt>
                <c:pt idx="27">
                  <c:v>Ολλανδία</c:v>
                </c:pt>
                <c:pt idx="28">
                  <c:v>Ελλάδα</c:v>
                </c:pt>
                <c:pt idx="29">
                  <c:v>Νορβηγία</c:v>
                </c:pt>
                <c:pt idx="30">
                  <c:v>Γερμανία</c:v>
                </c:pt>
                <c:pt idx="31">
                  <c:v>Σουηδία</c:v>
                </c:pt>
              </c:strCache>
            </c:strRef>
          </c:cat>
          <c:val>
            <c:numRef>
              <c:f>Φύλλο1!$C$2:$C$33</c:f>
              <c:numCache>
                <c:formatCode>General</c:formatCode>
                <c:ptCount val="32"/>
                <c:pt idx="0">
                  <c:v>0.01</c:v>
                </c:pt>
                <c:pt idx="1">
                  <c:v>0.05</c:v>
                </c:pt>
                <c:pt idx="2">
                  <c:v>0.08</c:v>
                </c:pt>
                <c:pt idx="3">
                  <c:v>0.09</c:v>
                </c:pt>
                <c:pt idx="4">
                  <c:v>0.1</c:v>
                </c:pt>
                <c:pt idx="5">
                  <c:v>0.11</c:v>
                </c:pt>
                <c:pt idx="6">
                  <c:v>0.13</c:v>
                </c:pt>
                <c:pt idx="7">
                  <c:v>0.13</c:v>
                </c:pt>
                <c:pt idx="8">
                  <c:v>0.14000000000000001</c:v>
                </c:pt>
                <c:pt idx="9">
                  <c:v>0.15</c:v>
                </c:pt>
                <c:pt idx="10">
                  <c:v>0.15</c:v>
                </c:pt>
                <c:pt idx="11">
                  <c:v>0.16</c:v>
                </c:pt>
                <c:pt idx="12">
                  <c:v>0.17</c:v>
                </c:pt>
                <c:pt idx="13">
                  <c:v>0.17</c:v>
                </c:pt>
                <c:pt idx="14">
                  <c:v>0.18</c:v>
                </c:pt>
                <c:pt idx="15">
                  <c:v>0.18</c:v>
                </c:pt>
                <c:pt idx="16" formatCode="0.00">
                  <c:v>0.18085714285714299</c:v>
                </c:pt>
                <c:pt idx="17">
                  <c:v>0.19</c:v>
                </c:pt>
                <c:pt idx="18">
                  <c:v>0.19</c:v>
                </c:pt>
                <c:pt idx="19">
                  <c:v>0.19</c:v>
                </c:pt>
                <c:pt idx="20">
                  <c:v>0.19</c:v>
                </c:pt>
                <c:pt idx="21">
                  <c:v>0.21</c:v>
                </c:pt>
                <c:pt idx="22">
                  <c:v>0.21</c:v>
                </c:pt>
                <c:pt idx="23">
                  <c:v>0.23</c:v>
                </c:pt>
                <c:pt idx="24">
                  <c:v>0.23</c:v>
                </c:pt>
                <c:pt idx="25">
                  <c:v>0.23</c:v>
                </c:pt>
                <c:pt idx="26">
                  <c:v>0.24</c:v>
                </c:pt>
                <c:pt idx="27">
                  <c:v>0.24</c:v>
                </c:pt>
                <c:pt idx="28">
                  <c:v>0.26</c:v>
                </c:pt>
                <c:pt idx="29">
                  <c:v>0.26</c:v>
                </c:pt>
                <c:pt idx="30">
                  <c:v>0.27</c:v>
                </c:pt>
                <c:pt idx="31">
                  <c:v>0.52</c:v>
                </c:pt>
              </c:numCache>
            </c:numRef>
          </c:val>
          <c:extLst>
            <c:ext xmlns:c16="http://schemas.microsoft.com/office/drawing/2014/chart" uri="{C3380CC4-5D6E-409C-BE32-E72D297353CC}">
              <c16:uniqueId val="{00000001-9674-4DFA-9F38-320353CD490A}"/>
            </c:ext>
          </c:extLst>
        </c:ser>
        <c:dLbls>
          <c:showLegendKey val="0"/>
          <c:showVal val="0"/>
          <c:showCatName val="0"/>
          <c:showSerName val="0"/>
          <c:showPercent val="0"/>
          <c:showBubbleSize val="0"/>
        </c:dLbls>
        <c:gapWidth val="182"/>
        <c:axId val="597651728"/>
        <c:axId val="597667472"/>
      </c:barChart>
      <c:catAx>
        <c:axId val="59765172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l-GR"/>
          </a:p>
        </c:txPr>
        <c:crossAx val="597667472"/>
        <c:crosses val="autoZero"/>
        <c:auto val="1"/>
        <c:lblAlgn val="ctr"/>
        <c:lblOffset val="100"/>
        <c:noMultiLvlLbl val="0"/>
      </c:catAx>
      <c:valAx>
        <c:axId val="59766747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5976517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legend>
    <c:plotVisOnly val="1"/>
    <c:dispBlanksAs val="gap"/>
    <c:showDLblsOverMax val="0"/>
  </c:chart>
  <c:spPr>
    <a:solidFill>
      <a:schemeClr val="bg1"/>
    </a:solidFill>
    <a:ln w="9525" cap="flat" cmpd="sng" algn="ctr">
      <a:noFill/>
      <a:round/>
    </a:ln>
    <a:effectLst/>
  </c:spPr>
  <c:txPr>
    <a:bodyPr/>
    <a:lstStyle/>
    <a:p>
      <a:pPr>
        <a:defRPr/>
      </a:pPr>
      <a:endParaRPr lang="el-GR"/>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l-G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Φύλλο1!$B$1</c:f>
              <c:strCache>
                <c:ptCount val="1"/>
                <c:pt idx="0">
                  <c:v>Ψυχολόγοι</c:v>
                </c:pt>
              </c:strCache>
            </c:strRef>
          </c:tx>
          <c:spPr>
            <a:solidFill>
              <a:schemeClr val="accent1"/>
            </a:solidFill>
            <a:ln>
              <a:noFill/>
            </a:ln>
            <a:effectLst/>
          </c:spPr>
          <c:invertIfNegative val="0"/>
          <c:dPt>
            <c:idx val="7"/>
            <c:invertIfNegative val="0"/>
            <c:bubble3D val="0"/>
            <c:spPr>
              <a:solidFill>
                <a:schemeClr val="tx2">
                  <a:lumMod val="60000"/>
                  <a:lumOff val="40000"/>
                </a:schemeClr>
              </a:solidFill>
              <a:ln>
                <a:noFill/>
              </a:ln>
              <a:effectLst/>
            </c:spPr>
            <c:extLst>
              <c:ext xmlns:c16="http://schemas.microsoft.com/office/drawing/2014/chart" uri="{C3380CC4-5D6E-409C-BE32-E72D297353CC}">
                <c16:uniqueId val="{00000001-16BB-487A-A5F9-A17AA4BFD1A9}"/>
              </c:ext>
            </c:extLst>
          </c:dPt>
          <c:dPt>
            <c:idx val="17"/>
            <c:invertIfNegative val="0"/>
            <c:bubble3D val="0"/>
            <c:spPr>
              <a:solidFill>
                <a:schemeClr val="tx2">
                  <a:lumMod val="60000"/>
                  <a:lumOff val="40000"/>
                </a:schemeClr>
              </a:solidFill>
              <a:ln>
                <a:noFill/>
              </a:ln>
              <a:effectLst/>
            </c:spPr>
            <c:extLst>
              <c:ext xmlns:c16="http://schemas.microsoft.com/office/drawing/2014/chart" uri="{C3380CC4-5D6E-409C-BE32-E72D297353CC}">
                <c16:uniqueId val="{00000003-16BB-487A-A5F9-A17AA4BFD1A9}"/>
              </c:ext>
            </c:extLst>
          </c:dPt>
          <c:dLbls>
            <c:dLbl>
              <c:idx val="7"/>
              <c:layout>
                <c:manualLayout>
                  <c:x val="0.10408401799164521"/>
                  <c:y val="7.6627467283380521E-17"/>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16BB-487A-A5F9-A17AA4BFD1A9}"/>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l-GR"/>
              </a:p>
            </c:txPr>
            <c:dLblPos val="inBase"/>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Φύλλο1!$A$2:$A$30</c:f>
              <c:strCache>
                <c:ptCount val="29"/>
                <c:pt idx="0">
                  <c:v>Κορέα</c:v>
                </c:pt>
                <c:pt idx="1">
                  <c:v>Ουγγαρία</c:v>
                </c:pt>
                <c:pt idx="2">
                  <c:v>Τσεχία</c:v>
                </c:pt>
                <c:pt idx="3">
                  <c:v>Τουρκία</c:v>
                </c:pt>
                <c:pt idx="4">
                  <c:v>Ιαπωνία</c:v>
                </c:pt>
                <c:pt idx="5">
                  <c:v>Ιταλία</c:v>
                </c:pt>
                <c:pt idx="6">
                  <c:v>Εσθονία</c:v>
                </c:pt>
                <c:pt idx="7">
                  <c:v>Ελλάδα</c:v>
                </c:pt>
                <c:pt idx="8">
                  <c:v>Βέλγιο</c:v>
                </c:pt>
                <c:pt idx="9">
                  <c:v>Λιθουανία</c:v>
                </c:pt>
                <c:pt idx="10">
                  <c:v>Πολωνία</c:v>
                </c:pt>
                <c:pt idx="11">
                  <c:v>Ελβετία</c:v>
                </c:pt>
                <c:pt idx="12">
                  <c:v>ΗΠΑ</c:v>
                </c:pt>
                <c:pt idx="13">
                  <c:v>Ην.Βασίλειο</c:v>
                </c:pt>
                <c:pt idx="14">
                  <c:v>Καναδάς</c:v>
                </c:pt>
                <c:pt idx="15">
                  <c:v>Γαλλία</c:v>
                </c:pt>
                <c:pt idx="16">
                  <c:v>Γερμανία</c:v>
                </c:pt>
                <c:pt idx="17">
                  <c:v>ΟΟΣΑ</c:v>
                </c:pt>
                <c:pt idx="18">
                  <c:v>Ισπανία </c:v>
                </c:pt>
                <c:pt idx="19">
                  <c:v>Λουξεμβούργο</c:v>
                </c:pt>
                <c:pt idx="20">
                  <c:v>Λετονία</c:v>
                </c:pt>
                <c:pt idx="21">
                  <c:v>Νέα Ζηλανδία</c:v>
                </c:pt>
                <c:pt idx="22">
                  <c:v>Ισραήλ</c:v>
                </c:pt>
                <c:pt idx="23">
                  <c:v>Ολλανδία</c:v>
                </c:pt>
                <c:pt idx="24">
                  <c:v>Σουηδία</c:v>
                </c:pt>
                <c:pt idx="25">
                  <c:v>Αυστραλία</c:v>
                </c:pt>
                <c:pt idx="26">
                  <c:v>Φινλανδία</c:v>
                </c:pt>
                <c:pt idx="27">
                  <c:v>Νορβηγία</c:v>
                </c:pt>
                <c:pt idx="28">
                  <c:v>Δανία</c:v>
                </c:pt>
              </c:strCache>
            </c:strRef>
          </c:cat>
          <c:val>
            <c:numRef>
              <c:f>Φύλλο1!$B$2:$B$30</c:f>
              <c:numCache>
                <c:formatCode>0.00</c:formatCode>
                <c:ptCount val="29"/>
                <c:pt idx="0">
                  <c:v>1.5900000000000001E-2</c:v>
                </c:pt>
                <c:pt idx="1">
                  <c:v>2.4799999999999999E-2</c:v>
                </c:pt>
                <c:pt idx="2">
                  <c:v>2.52E-2</c:v>
                </c:pt>
                <c:pt idx="3">
                  <c:v>2.5399999999999999E-2</c:v>
                </c:pt>
                <c:pt idx="4">
                  <c:v>3.04E-2</c:v>
                </c:pt>
                <c:pt idx="5">
                  <c:v>3.7999999999999999E-2</c:v>
                </c:pt>
                <c:pt idx="6">
                  <c:v>6.4600000000000005E-2</c:v>
                </c:pt>
                <c:pt idx="7">
                  <c:v>8.7800000000000003E-2</c:v>
                </c:pt>
                <c:pt idx="8">
                  <c:v>0.1046</c:v>
                </c:pt>
                <c:pt idx="9">
                  <c:v>0.15959999999999999</c:v>
                </c:pt>
                <c:pt idx="10">
                  <c:v>0.16350000000000001</c:v>
                </c:pt>
                <c:pt idx="11">
                  <c:v>0.25879999999999997</c:v>
                </c:pt>
                <c:pt idx="12">
                  <c:v>0.29859999999999998</c:v>
                </c:pt>
                <c:pt idx="13">
                  <c:v>0.36470000000000002</c:v>
                </c:pt>
                <c:pt idx="14">
                  <c:v>0.48699999999999999</c:v>
                </c:pt>
                <c:pt idx="15">
                  <c:v>0.48699999999999999</c:v>
                </c:pt>
                <c:pt idx="16">
                  <c:v>0.4955</c:v>
                </c:pt>
                <c:pt idx="17">
                  <c:v>0.53</c:v>
                </c:pt>
                <c:pt idx="18">
                  <c:v>0.55420000000000003</c:v>
                </c:pt>
                <c:pt idx="19">
                  <c:v>0.59299999999999997</c:v>
                </c:pt>
                <c:pt idx="20">
                  <c:v>0.66720000000000002</c:v>
                </c:pt>
                <c:pt idx="21">
                  <c:v>0.86150000000000004</c:v>
                </c:pt>
                <c:pt idx="22">
                  <c:v>0.88090000000000002</c:v>
                </c:pt>
                <c:pt idx="23">
                  <c:v>0.93589999999999995</c:v>
                </c:pt>
                <c:pt idx="24">
                  <c:v>0.99</c:v>
                </c:pt>
                <c:pt idx="25">
                  <c:v>1.034</c:v>
                </c:pt>
                <c:pt idx="26">
                  <c:v>1.0949</c:v>
                </c:pt>
                <c:pt idx="27">
                  <c:v>1.3982000000000001</c:v>
                </c:pt>
                <c:pt idx="28">
                  <c:v>1.6168</c:v>
                </c:pt>
              </c:numCache>
            </c:numRef>
          </c:val>
          <c:extLst>
            <c:ext xmlns:c16="http://schemas.microsoft.com/office/drawing/2014/chart" uri="{C3380CC4-5D6E-409C-BE32-E72D297353CC}">
              <c16:uniqueId val="{00000000-F246-467E-9554-4B4C436CB330}"/>
            </c:ext>
          </c:extLst>
        </c:ser>
        <c:ser>
          <c:idx val="1"/>
          <c:order val="1"/>
          <c:tx>
            <c:strRef>
              <c:f>Φύλλο1!$C$1</c:f>
              <c:strCache>
                <c:ptCount val="1"/>
                <c:pt idx="0">
                  <c:v>Νοσηλεύτριες ψυχικής υγείας</c:v>
                </c:pt>
              </c:strCache>
            </c:strRef>
          </c:tx>
          <c:spPr>
            <a:solidFill>
              <a:schemeClr val="accent2"/>
            </a:solidFill>
            <a:ln>
              <a:noFill/>
            </a:ln>
            <a:effectLst/>
          </c:spPr>
          <c:invertIfNegative val="0"/>
          <c:dPt>
            <c:idx val="7"/>
            <c:invertIfNegative val="0"/>
            <c:bubble3D val="0"/>
            <c:spPr>
              <a:solidFill>
                <a:srgbClr val="FF0000"/>
              </a:solidFill>
              <a:ln>
                <a:noFill/>
              </a:ln>
              <a:effectLst/>
            </c:spPr>
            <c:extLst>
              <c:ext xmlns:c16="http://schemas.microsoft.com/office/drawing/2014/chart" uri="{C3380CC4-5D6E-409C-BE32-E72D297353CC}">
                <c16:uniqueId val="{00000002-16BB-487A-A5F9-A17AA4BFD1A9}"/>
              </c:ext>
            </c:extLst>
          </c:dPt>
          <c:dPt>
            <c:idx val="17"/>
            <c:invertIfNegative val="0"/>
            <c:bubble3D val="0"/>
            <c:spPr>
              <a:solidFill>
                <a:srgbClr val="FF0000"/>
              </a:solidFill>
              <a:ln>
                <a:noFill/>
              </a:ln>
              <a:effectLst/>
            </c:spPr>
            <c:extLst>
              <c:ext xmlns:c16="http://schemas.microsoft.com/office/drawing/2014/chart" uri="{C3380CC4-5D6E-409C-BE32-E72D297353CC}">
                <c16:uniqueId val="{00000000-16BB-487A-A5F9-A17AA4BFD1A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l-G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Φύλλο1!$A$2:$A$30</c:f>
              <c:strCache>
                <c:ptCount val="29"/>
                <c:pt idx="0">
                  <c:v>Κορέα</c:v>
                </c:pt>
                <c:pt idx="1">
                  <c:v>Ουγγαρία</c:v>
                </c:pt>
                <c:pt idx="2">
                  <c:v>Τσεχία</c:v>
                </c:pt>
                <c:pt idx="3">
                  <c:v>Τουρκία</c:v>
                </c:pt>
                <c:pt idx="4">
                  <c:v>Ιαπωνία</c:v>
                </c:pt>
                <c:pt idx="5">
                  <c:v>Ιταλία</c:v>
                </c:pt>
                <c:pt idx="6">
                  <c:v>Εσθονία</c:v>
                </c:pt>
                <c:pt idx="7">
                  <c:v>Ελλάδα</c:v>
                </c:pt>
                <c:pt idx="8">
                  <c:v>Βέλγιο</c:v>
                </c:pt>
                <c:pt idx="9">
                  <c:v>Λιθουανία</c:v>
                </c:pt>
                <c:pt idx="10">
                  <c:v>Πολωνία</c:v>
                </c:pt>
                <c:pt idx="11">
                  <c:v>Ελβετία</c:v>
                </c:pt>
                <c:pt idx="12">
                  <c:v>ΗΠΑ</c:v>
                </c:pt>
                <c:pt idx="13">
                  <c:v>Ην.Βασίλειο</c:v>
                </c:pt>
                <c:pt idx="14">
                  <c:v>Καναδάς</c:v>
                </c:pt>
                <c:pt idx="15">
                  <c:v>Γαλλία</c:v>
                </c:pt>
                <c:pt idx="16">
                  <c:v>Γερμανία</c:v>
                </c:pt>
                <c:pt idx="17">
                  <c:v>ΟΟΣΑ</c:v>
                </c:pt>
                <c:pt idx="18">
                  <c:v>Ισπανία </c:v>
                </c:pt>
                <c:pt idx="19">
                  <c:v>Λουξεμβούργο</c:v>
                </c:pt>
                <c:pt idx="20">
                  <c:v>Λετονία</c:v>
                </c:pt>
                <c:pt idx="21">
                  <c:v>Νέα Ζηλανδία</c:v>
                </c:pt>
                <c:pt idx="22">
                  <c:v>Ισραήλ</c:v>
                </c:pt>
                <c:pt idx="23">
                  <c:v>Ολλανδία</c:v>
                </c:pt>
                <c:pt idx="24">
                  <c:v>Σουηδία</c:v>
                </c:pt>
                <c:pt idx="25">
                  <c:v>Αυστραλία</c:v>
                </c:pt>
                <c:pt idx="26">
                  <c:v>Φινλανδία</c:v>
                </c:pt>
                <c:pt idx="27">
                  <c:v>Νορβηγία</c:v>
                </c:pt>
                <c:pt idx="28">
                  <c:v>Δανία</c:v>
                </c:pt>
              </c:strCache>
            </c:strRef>
          </c:cat>
          <c:val>
            <c:numRef>
              <c:f>Φύλλο1!$C$2:$C$30</c:f>
              <c:numCache>
                <c:formatCode>0.00</c:formatCode>
                <c:ptCount val="29"/>
                <c:pt idx="0">
                  <c:v>0.1366</c:v>
                </c:pt>
                <c:pt idx="1">
                  <c:v>0.33739999999999998</c:v>
                </c:pt>
                <c:pt idx="2">
                  <c:v>0.30499999999999999</c:v>
                </c:pt>
                <c:pt idx="3">
                  <c:v>1.5024999999999999</c:v>
                </c:pt>
                <c:pt idx="4">
                  <c:v>0.83809999999999996</c:v>
                </c:pt>
                <c:pt idx="5">
                  <c:v>0.2349</c:v>
                </c:pt>
                <c:pt idx="6">
                  <c:v>0.23480000000000001</c:v>
                </c:pt>
                <c:pt idx="7">
                  <c:v>0.1275</c:v>
                </c:pt>
                <c:pt idx="8">
                  <c:v>1.2568999999999999</c:v>
                </c:pt>
                <c:pt idx="9">
                  <c:v>0.49759999999999999</c:v>
                </c:pt>
                <c:pt idx="10">
                  <c:v>0.30919999999999997</c:v>
                </c:pt>
                <c:pt idx="12">
                  <c:v>4.2799999999999998E-2</c:v>
                </c:pt>
                <c:pt idx="13">
                  <c:v>0.52680000000000005</c:v>
                </c:pt>
                <c:pt idx="14">
                  <c:v>0.68700000000000006</c:v>
                </c:pt>
                <c:pt idx="15">
                  <c:v>0.98029999999999995</c:v>
                </c:pt>
                <c:pt idx="17">
                  <c:v>0.52</c:v>
                </c:pt>
                <c:pt idx="18">
                  <c:v>2.87E-2</c:v>
                </c:pt>
                <c:pt idx="20">
                  <c:v>0.2283</c:v>
                </c:pt>
                <c:pt idx="21">
                  <c:v>0.75129999999999997</c:v>
                </c:pt>
                <c:pt idx="24">
                  <c:v>0.50570000000000004</c:v>
                </c:pt>
                <c:pt idx="25">
                  <c:v>0.90580000000000005</c:v>
                </c:pt>
                <c:pt idx="27">
                  <c:v>0.66080000000000005</c:v>
                </c:pt>
              </c:numCache>
            </c:numRef>
          </c:val>
          <c:extLst>
            <c:ext xmlns:c16="http://schemas.microsoft.com/office/drawing/2014/chart" uri="{C3380CC4-5D6E-409C-BE32-E72D297353CC}">
              <c16:uniqueId val="{00000001-F246-467E-9554-4B4C436CB330}"/>
            </c:ext>
          </c:extLst>
        </c:ser>
        <c:dLbls>
          <c:showLegendKey val="0"/>
          <c:showVal val="0"/>
          <c:showCatName val="0"/>
          <c:showSerName val="0"/>
          <c:showPercent val="0"/>
          <c:showBubbleSize val="0"/>
        </c:dLbls>
        <c:gapWidth val="182"/>
        <c:axId val="525842560"/>
        <c:axId val="525835016"/>
      </c:barChart>
      <c:catAx>
        <c:axId val="52584256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l-GR"/>
          </a:p>
        </c:txPr>
        <c:crossAx val="525835016"/>
        <c:crosses val="autoZero"/>
        <c:auto val="1"/>
        <c:lblAlgn val="ctr"/>
        <c:lblOffset val="100"/>
        <c:noMultiLvlLbl val="0"/>
      </c:catAx>
      <c:valAx>
        <c:axId val="525835016"/>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5258425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legend>
    <c:plotVisOnly val="1"/>
    <c:dispBlanksAs val="gap"/>
    <c:showDLblsOverMax val="0"/>
  </c:chart>
  <c:spPr>
    <a:solidFill>
      <a:schemeClr val="bg1"/>
    </a:solidFill>
    <a:ln w="9525" cap="flat" cmpd="sng" algn="ctr">
      <a:noFill/>
      <a:round/>
    </a:ln>
    <a:effectLst/>
  </c:spPr>
  <c:txPr>
    <a:bodyPr/>
    <a:lstStyle/>
    <a:p>
      <a:pPr>
        <a:defRPr/>
      </a:pPr>
      <a:endParaRPr lang="el-GR"/>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l-G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4.1247059879501273E-2"/>
          <c:y val="0.12015890444740475"/>
          <c:w val="0.95439023891171137"/>
          <c:h val="0.76479847416768698"/>
        </c:manualLayout>
      </c:layout>
      <c:barChart>
        <c:barDir val="col"/>
        <c:grouping val="stacked"/>
        <c:varyColors val="0"/>
        <c:ser>
          <c:idx val="0"/>
          <c:order val="0"/>
          <c:tx>
            <c:v>AUS</c:v>
          </c:tx>
          <c:spPr>
            <a:solidFill>
              <a:srgbClr val="006BB6"/>
            </a:solidFill>
            <a:ln w="6350" cmpd="sng">
              <a:solidFill>
                <a:srgbClr val="000000"/>
              </a:solidFill>
            </a:ln>
            <a:effectLst/>
          </c:spPr>
          <c:invertIfNegative val="0"/>
          <c:dLbls>
            <c:dLbl>
              <c:idx val="0"/>
              <c:tx>
                <c:rich>
                  <a:bodyPr wrap="square" lIns="38100" tIns="19050" rIns="38100" bIns="19050" anchor="ctr">
                    <a:spAutoFit/>
                  </a:bodyPr>
                  <a:lstStyle/>
                  <a:p>
                    <a:pPr>
                      <a:defRPr sz="700" b="0" i="0">
                        <a:solidFill>
                          <a:srgbClr val="000000"/>
                        </a:solidFill>
                        <a:latin typeface="Arial Narrow" panose="020B0606020202030204" pitchFamily="34" charset="0"/>
                      </a:defRPr>
                    </a:pPr>
                    <a:r>
                      <a:rPr lang="en-US" sz="700" b="0" i="0">
                        <a:solidFill>
                          <a:srgbClr val="000000"/>
                        </a:solidFill>
                        <a:latin typeface="Arial Narrow" panose="020B0606020202030204" pitchFamily="34" charset="0"/>
                      </a:rPr>
                      <a:t>AUS</a:t>
                    </a: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00-55EE-4E8D-8E82-166DECEADC54}"/>
                </c:ext>
              </c:extLst>
            </c:dLbl>
            <c:dLbl>
              <c:idx val="1"/>
              <c:tx>
                <c:rich>
                  <a:bodyPr wrap="square" lIns="38100" tIns="19050" rIns="38100" bIns="19050" anchor="ctr">
                    <a:spAutoFit/>
                  </a:bodyPr>
                  <a:lstStyle/>
                  <a:p>
                    <a:pPr>
                      <a:defRPr sz="700" b="0" i="0">
                        <a:solidFill>
                          <a:srgbClr val="000000"/>
                        </a:solidFill>
                        <a:latin typeface="Arial Narrow" panose="020B0606020202030204" pitchFamily="34" charset="0"/>
                      </a:defRPr>
                    </a:pPr>
                    <a:endParaRPr lang="en-GB" sz="700" b="0" i="0">
                      <a:solidFill>
                        <a:srgbClr val="000000"/>
                      </a:solidFill>
                      <a:latin typeface="Arial Narrow" panose="020B0606020202030204" pitchFamily="34" charset="0"/>
                    </a:endParaRP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01-55EE-4E8D-8E82-166DECEADC54}"/>
                </c:ext>
              </c:extLst>
            </c:dLbl>
            <c:dLbl>
              <c:idx val="2"/>
              <c:tx>
                <c:rich>
                  <a:bodyPr wrap="square" lIns="38100" tIns="19050" rIns="38100" bIns="19050" anchor="ctr">
                    <a:spAutoFit/>
                  </a:bodyPr>
                  <a:lstStyle/>
                  <a:p>
                    <a:pPr>
                      <a:defRPr sz="700" b="0" i="0">
                        <a:solidFill>
                          <a:srgbClr val="000000"/>
                        </a:solidFill>
                        <a:latin typeface="Arial Narrow" panose="020B0606020202030204" pitchFamily="34" charset="0"/>
                      </a:defRPr>
                    </a:pPr>
                    <a:endParaRPr lang="en-GB" sz="700" b="0" i="0">
                      <a:solidFill>
                        <a:srgbClr val="000000"/>
                      </a:solidFill>
                      <a:latin typeface="Arial Narrow" panose="020B0606020202030204" pitchFamily="34" charset="0"/>
                    </a:endParaRP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02-55EE-4E8D-8E82-166DECEADC54}"/>
                </c:ext>
              </c:extLst>
            </c:dLbl>
            <c:spPr>
              <a:noFill/>
              <a:ln>
                <a:noFill/>
              </a:ln>
              <a:effectLst/>
            </c:spPr>
            <c:showLegendKey val="0"/>
            <c:showVal val="0"/>
            <c:showCatName val="0"/>
            <c:showSerName val="1"/>
            <c:showPercent val="0"/>
            <c:showBubbleSize val="0"/>
            <c:showLeaderLines val="0"/>
            <c:extLst>
              <c:ext xmlns:c15="http://schemas.microsoft.com/office/drawing/2012/chart" uri="{CE6537A1-D6FC-4f65-9D91-7224C49458BB}">
                <c15:showLeaderLines val="1"/>
              </c:ext>
            </c:extLst>
          </c:dLbls>
          <c:cat>
            <c:strRef>
              <c:f>'[3er5qt.xlsx]g2-1'!$D$27:$F$27</c:f>
              <c:strCache>
                <c:ptCount val="3"/>
                <c:pt idx="0">
                  <c:v>Care plans involve the service user or their representative </c:v>
                </c:pt>
                <c:pt idx="1">
                  <c:v>Care plans involve a family user or carer </c:v>
                </c:pt>
                <c:pt idx="2">
                  <c:v>Care plans include discussion of employment, educational, or other opportunities</c:v>
                </c:pt>
              </c:strCache>
            </c:strRef>
          </c:cat>
          <c:val>
            <c:numLit>
              <c:formatCode>General</c:formatCode>
              <c:ptCount val="3"/>
              <c:pt idx="0">
                <c:v>1</c:v>
              </c:pt>
            </c:numLit>
          </c:val>
          <c:extLst>
            <c:ext xmlns:c16="http://schemas.microsoft.com/office/drawing/2014/chart" uri="{C3380CC4-5D6E-409C-BE32-E72D297353CC}">
              <c16:uniqueId val="{00000003-55EE-4E8D-8E82-166DECEADC54}"/>
            </c:ext>
          </c:extLst>
        </c:ser>
        <c:ser>
          <c:idx val="1"/>
          <c:order val="1"/>
          <c:tx>
            <c:v>AUT</c:v>
          </c:tx>
          <c:spPr>
            <a:solidFill>
              <a:srgbClr val="7FA8D9"/>
            </a:solidFill>
            <a:ln w="6350" cmpd="sng">
              <a:solidFill>
                <a:srgbClr val="000000"/>
              </a:solidFill>
            </a:ln>
            <a:effectLst/>
          </c:spPr>
          <c:invertIfNegative val="0"/>
          <c:dPt>
            <c:idx val="0"/>
            <c:invertIfNegative val="0"/>
            <c:bubble3D val="0"/>
            <c:spPr>
              <a:solidFill>
                <a:srgbClr val="006BB6"/>
              </a:solidFill>
              <a:ln w="6350" cmpd="sng">
                <a:solidFill>
                  <a:srgbClr val="000000"/>
                </a:solidFill>
              </a:ln>
              <a:effectLst/>
            </c:spPr>
            <c:extLst>
              <c:ext xmlns:c16="http://schemas.microsoft.com/office/drawing/2014/chart" uri="{C3380CC4-5D6E-409C-BE32-E72D297353CC}">
                <c16:uniqueId val="{00000005-55EE-4E8D-8E82-166DECEADC54}"/>
              </c:ext>
            </c:extLst>
          </c:dPt>
          <c:dPt>
            <c:idx val="1"/>
            <c:invertIfNegative val="0"/>
            <c:bubble3D val="0"/>
            <c:extLst>
              <c:ext xmlns:c16="http://schemas.microsoft.com/office/drawing/2014/chart" uri="{C3380CC4-5D6E-409C-BE32-E72D297353CC}">
                <c16:uniqueId val="{00000006-55EE-4E8D-8E82-166DECEADC54}"/>
              </c:ext>
            </c:extLst>
          </c:dPt>
          <c:dPt>
            <c:idx val="2"/>
            <c:invertIfNegative val="0"/>
            <c:bubble3D val="0"/>
            <c:extLst>
              <c:ext xmlns:c16="http://schemas.microsoft.com/office/drawing/2014/chart" uri="{C3380CC4-5D6E-409C-BE32-E72D297353CC}">
                <c16:uniqueId val="{00000007-55EE-4E8D-8E82-166DECEADC54}"/>
              </c:ext>
            </c:extLst>
          </c:dPt>
          <c:dLbls>
            <c:dLbl>
              <c:idx val="0"/>
              <c:tx>
                <c:rich>
                  <a:bodyPr wrap="square" lIns="38100" tIns="19050" rIns="38100" bIns="19050" anchor="ctr">
                    <a:spAutoFit/>
                  </a:bodyPr>
                  <a:lstStyle/>
                  <a:p>
                    <a:pPr>
                      <a:defRPr sz="700" b="0" i="0">
                        <a:solidFill>
                          <a:srgbClr val="000000"/>
                        </a:solidFill>
                        <a:latin typeface="Arial Narrow" panose="020B0606020202030204" pitchFamily="34" charset="0"/>
                      </a:defRPr>
                    </a:pPr>
                    <a:r>
                      <a:rPr lang="en-US" sz="700" b="0" i="0">
                        <a:solidFill>
                          <a:srgbClr val="000000"/>
                        </a:solidFill>
                        <a:latin typeface="Arial Narrow" panose="020B0606020202030204" pitchFamily="34" charset="0"/>
                      </a:rPr>
                      <a:t>AUT</a:t>
                    </a: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05-55EE-4E8D-8E82-166DECEADC54}"/>
                </c:ext>
              </c:extLst>
            </c:dLbl>
            <c:dLbl>
              <c:idx val="1"/>
              <c:tx>
                <c:rich>
                  <a:bodyPr wrap="square" lIns="38100" tIns="19050" rIns="38100" bIns="19050" anchor="ctr">
                    <a:spAutoFit/>
                  </a:bodyPr>
                  <a:lstStyle/>
                  <a:p>
                    <a:pPr>
                      <a:defRPr sz="700" b="0" i="0">
                        <a:solidFill>
                          <a:srgbClr val="000000"/>
                        </a:solidFill>
                        <a:latin typeface="Arial Narrow" panose="020B0606020202030204" pitchFamily="34" charset="0"/>
                      </a:defRPr>
                    </a:pPr>
                    <a:r>
                      <a:rPr lang="en-US" sz="700" b="0" i="0">
                        <a:solidFill>
                          <a:srgbClr val="000000"/>
                        </a:solidFill>
                        <a:latin typeface="Arial Narrow" panose="020B0606020202030204" pitchFamily="34" charset="0"/>
                      </a:rPr>
                      <a:t>AUT</a:t>
                    </a: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06-55EE-4E8D-8E82-166DECEADC54}"/>
                </c:ext>
              </c:extLst>
            </c:dLbl>
            <c:dLbl>
              <c:idx val="2"/>
              <c:tx>
                <c:rich>
                  <a:bodyPr wrap="square" lIns="38100" tIns="19050" rIns="38100" bIns="19050" anchor="ctr">
                    <a:spAutoFit/>
                  </a:bodyPr>
                  <a:lstStyle/>
                  <a:p>
                    <a:pPr>
                      <a:defRPr sz="700" b="0" i="0">
                        <a:solidFill>
                          <a:srgbClr val="000000"/>
                        </a:solidFill>
                        <a:latin typeface="Arial Narrow" panose="020B0606020202030204" pitchFamily="34" charset="0"/>
                      </a:defRPr>
                    </a:pPr>
                    <a:r>
                      <a:rPr lang="en-US" sz="700" b="0" i="0">
                        <a:solidFill>
                          <a:srgbClr val="000000"/>
                        </a:solidFill>
                        <a:latin typeface="Arial Narrow" panose="020B0606020202030204" pitchFamily="34" charset="0"/>
                      </a:rPr>
                      <a:t>AUT</a:t>
                    </a: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07-55EE-4E8D-8E82-166DECEADC54}"/>
                </c:ext>
              </c:extLst>
            </c:dLbl>
            <c:spPr>
              <a:noFill/>
              <a:ln>
                <a:noFill/>
              </a:ln>
              <a:effectLst/>
            </c:spPr>
            <c:showLegendKey val="0"/>
            <c:showVal val="0"/>
            <c:showCatName val="0"/>
            <c:showSerName val="1"/>
            <c:showPercent val="0"/>
            <c:showBubbleSize val="0"/>
            <c:showLeaderLines val="0"/>
            <c:extLst>
              <c:ext xmlns:c15="http://schemas.microsoft.com/office/drawing/2012/chart" uri="{CE6537A1-D6FC-4f65-9D91-7224C49458BB}">
                <c15:showLeaderLines val="1"/>
              </c:ext>
            </c:extLst>
          </c:dLbls>
          <c:cat>
            <c:strRef>
              <c:f>'[3er5qt.xlsx]g2-1'!$D$27:$F$27</c:f>
              <c:strCache>
                <c:ptCount val="3"/>
                <c:pt idx="0">
                  <c:v>Care plans involve the service user or their representative </c:v>
                </c:pt>
                <c:pt idx="1">
                  <c:v>Care plans involve a family user or carer </c:v>
                </c:pt>
                <c:pt idx="2">
                  <c:v>Care plans include discussion of employment, educational, or other opportunities</c:v>
                </c:pt>
              </c:strCache>
            </c:strRef>
          </c:cat>
          <c:val>
            <c:numLit>
              <c:formatCode>General</c:formatCode>
              <c:ptCount val="3"/>
              <c:pt idx="0">
                <c:v>1</c:v>
              </c:pt>
              <c:pt idx="1">
                <c:v>1</c:v>
              </c:pt>
              <c:pt idx="2">
                <c:v>1</c:v>
              </c:pt>
            </c:numLit>
          </c:val>
          <c:extLst>
            <c:ext xmlns:c16="http://schemas.microsoft.com/office/drawing/2014/chart" uri="{C3380CC4-5D6E-409C-BE32-E72D297353CC}">
              <c16:uniqueId val="{00000008-55EE-4E8D-8E82-166DECEADC54}"/>
            </c:ext>
          </c:extLst>
        </c:ser>
        <c:ser>
          <c:idx val="2"/>
          <c:order val="2"/>
          <c:tx>
            <c:v>BEL</c:v>
          </c:tx>
          <c:spPr>
            <a:solidFill>
              <a:srgbClr val="006BB6"/>
            </a:solidFill>
            <a:ln w="6350" cmpd="sng">
              <a:solidFill>
                <a:srgbClr val="000000"/>
              </a:solidFill>
            </a:ln>
            <a:effectLst/>
          </c:spPr>
          <c:invertIfNegative val="0"/>
          <c:dLbls>
            <c:dLbl>
              <c:idx val="0"/>
              <c:tx>
                <c:rich>
                  <a:bodyPr wrap="square" lIns="38100" tIns="19050" rIns="38100" bIns="19050" anchor="ctr">
                    <a:spAutoFit/>
                  </a:bodyPr>
                  <a:lstStyle/>
                  <a:p>
                    <a:pPr>
                      <a:defRPr sz="700" b="0" i="0">
                        <a:solidFill>
                          <a:srgbClr val="000000"/>
                        </a:solidFill>
                        <a:latin typeface="Arial Narrow" panose="020B0606020202030204" pitchFamily="34" charset="0"/>
                      </a:defRPr>
                    </a:pPr>
                    <a:r>
                      <a:rPr lang="en-US" sz="700" b="0" i="0">
                        <a:solidFill>
                          <a:srgbClr val="000000"/>
                        </a:solidFill>
                        <a:latin typeface="Arial Narrow" panose="020B0606020202030204" pitchFamily="34" charset="0"/>
                      </a:rPr>
                      <a:t>BEL</a:t>
                    </a: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09-55EE-4E8D-8E82-166DECEADC54}"/>
                </c:ext>
              </c:extLst>
            </c:dLbl>
            <c:dLbl>
              <c:idx val="1"/>
              <c:tx>
                <c:rich>
                  <a:bodyPr wrap="square" lIns="38100" tIns="19050" rIns="38100" bIns="19050" anchor="ctr">
                    <a:spAutoFit/>
                  </a:bodyPr>
                  <a:lstStyle/>
                  <a:p>
                    <a:pPr>
                      <a:defRPr sz="700" b="0" i="0">
                        <a:solidFill>
                          <a:srgbClr val="000000"/>
                        </a:solidFill>
                        <a:latin typeface="Arial Narrow" panose="020B0606020202030204" pitchFamily="34" charset="0"/>
                      </a:defRPr>
                    </a:pPr>
                    <a:r>
                      <a:rPr lang="en-US" sz="700" b="0" i="0">
                        <a:solidFill>
                          <a:srgbClr val="000000"/>
                        </a:solidFill>
                        <a:latin typeface="Arial Narrow" panose="020B0606020202030204" pitchFamily="34" charset="0"/>
                      </a:rPr>
                      <a:t>BEL</a:t>
                    </a: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0A-55EE-4E8D-8E82-166DECEADC54}"/>
                </c:ext>
              </c:extLst>
            </c:dLbl>
            <c:dLbl>
              <c:idx val="2"/>
              <c:tx>
                <c:rich>
                  <a:bodyPr wrap="square" lIns="38100" tIns="19050" rIns="38100" bIns="19050" anchor="ctr">
                    <a:spAutoFit/>
                  </a:bodyPr>
                  <a:lstStyle/>
                  <a:p>
                    <a:pPr>
                      <a:defRPr sz="700" b="0" i="0">
                        <a:solidFill>
                          <a:srgbClr val="000000"/>
                        </a:solidFill>
                        <a:latin typeface="Arial Narrow" panose="020B0606020202030204" pitchFamily="34" charset="0"/>
                      </a:defRPr>
                    </a:pPr>
                    <a:r>
                      <a:rPr lang="en-US" sz="700" b="0" i="0">
                        <a:solidFill>
                          <a:srgbClr val="000000"/>
                        </a:solidFill>
                        <a:latin typeface="Arial Narrow" panose="020B0606020202030204" pitchFamily="34" charset="0"/>
                      </a:rPr>
                      <a:t>BEL</a:t>
                    </a: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0B-55EE-4E8D-8E82-166DECEADC54}"/>
                </c:ext>
              </c:extLst>
            </c:dLbl>
            <c:spPr>
              <a:noFill/>
              <a:ln>
                <a:noFill/>
              </a:ln>
              <a:effectLst/>
            </c:spPr>
            <c:showLegendKey val="0"/>
            <c:showVal val="0"/>
            <c:showCatName val="0"/>
            <c:showSerName val="1"/>
            <c:showPercent val="0"/>
            <c:showBubbleSize val="0"/>
            <c:showLeaderLines val="0"/>
            <c:extLst>
              <c:ext xmlns:c15="http://schemas.microsoft.com/office/drawing/2012/chart" uri="{CE6537A1-D6FC-4f65-9D91-7224C49458BB}">
                <c15:showLeaderLines val="1"/>
              </c:ext>
            </c:extLst>
          </c:dLbls>
          <c:cat>
            <c:strRef>
              <c:f>'[3er5qt.xlsx]g2-1'!$D$27:$F$27</c:f>
              <c:strCache>
                <c:ptCount val="3"/>
                <c:pt idx="0">
                  <c:v>Care plans involve the service user or their representative </c:v>
                </c:pt>
                <c:pt idx="1">
                  <c:v>Care plans involve a family user or carer </c:v>
                </c:pt>
                <c:pt idx="2">
                  <c:v>Care plans include discussion of employment, educational, or other opportunities</c:v>
                </c:pt>
              </c:strCache>
            </c:strRef>
          </c:cat>
          <c:val>
            <c:numLit>
              <c:formatCode>General</c:formatCode>
              <c:ptCount val="3"/>
              <c:pt idx="0">
                <c:v>1</c:v>
              </c:pt>
              <c:pt idx="1">
                <c:v>1</c:v>
              </c:pt>
              <c:pt idx="2">
                <c:v>1</c:v>
              </c:pt>
            </c:numLit>
          </c:val>
          <c:extLst>
            <c:ext xmlns:c16="http://schemas.microsoft.com/office/drawing/2014/chart" uri="{C3380CC4-5D6E-409C-BE32-E72D297353CC}">
              <c16:uniqueId val="{0000000C-55EE-4E8D-8E82-166DECEADC54}"/>
            </c:ext>
          </c:extLst>
        </c:ser>
        <c:ser>
          <c:idx val="3"/>
          <c:order val="3"/>
          <c:tx>
            <c:v>CAN</c:v>
          </c:tx>
          <c:spPr>
            <a:solidFill>
              <a:srgbClr val="7FA8D9"/>
            </a:solidFill>
            <a:ln w="6350">
              <a:solidFill>
                <a:sysClr val="windowText" lastClr="000000"/>
              </a:solidFill>
            </a:ln>
          </c:spPr>
          <c:invertIfNegative val="0"/>
          <c:dLbls>
            <c:dLbl>
              <c:idx val="0"/>
              <c:tx>
                <c:rich>
                  <a:bodyPr wrap="square" lIns="38100" tIns="19050" rIns="38100" bIns="19050" anchor="ctr">
                    <a:spAutoFit/>
                  </a:bodyPr>
                  <a:lstStyle/>
                  <a:p>
                    <a:pPr>
                      <a:defRPr sz="700" b="0" i="0">
                        <a:solidFill>
                          <a:srgbClr val="000000"/>
                        </a:solidFill>
                        <a:latin typeface="Arial Narrow" panose="020B0606020202030204" pitchFamily="34" charset="0"/>
                      </a:defRPr>
                    </a:pPr>
                    <a:r>
                      <a:rPr lang="en-US" sz="700" b="0" i="0">
                        <a:solidFill>
                          <a:srgbClr val="000000"/>
                        </a:solidFill>
                        <a:latin typeface="Arial Narrow" panose="020B0606020202030204" pitchFamily="34" charset="0"/>
                      </a:rPr>
                      <a:t>CAN</a:t>
                    </a: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0D-55EE-4E8D-8E82-166DECEADC54}"/>
                </c:ext>
              </c:extLst>
            </c:dLbl>
            <c:dLbl>
              <c:idx val="1"/>
              <c:tx>
                <c:rich>
                  <a:bodyPr wrap="square" lIns="38100" tIns="19050" rIns="38100" bIns="19050" anchor="ctr">
                    <a:spAutoFit/>
                  </a:bodyPr>
                  <a:lstStyle/>
                  <a:p>
                    <a:pPr>
                      <a:defRPr sz="700" b="0" i="0">
                        <a:solidFill>
                          <a:srgbClr val="000000"/>
                        </a:solidFill>
                        <a:latin typeface="Arial Narrow" panose="020B0606020202030204" pitchFamily="34" charset="0"/>
                      </a:defRPr>
                    </a:pPr>
                    <a:r>
                      <a:rPr lang="en-US" sz="700" b="0" i="0">
                        <a:solidFill>
                          <a:srgbClr val="000000"/>
                        </a:solidFill>
                        <a:latin typeface="Arial Narrow" panose="020B0606020202030204" pitchFamily="34" charset="0"/>
                      </a:rPr>
                      <a:t>CAN</a:t>
                    </a: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0E-55EE-4E8D-8E82-166DECEADC54}"/>
                </c:ext>
              </c:extLst>
            </c:dLbl>
            <c:dLbl>
              <c:idx val="2"/>
              <c:tx>
                <c:rich>
                  <a:bodyPr wrap="square" lIns="38100" tIns="19050" rIns="38100" bIns="19050" anchor="ctr">
                    <a:spAutoFit/>
                  </a:bodyPr>
                  <a:lstStyle/>
                  <a:p>
                    <a:pPr>
                      <a:defRPr sz="700" b="0" i="0">
                        <a:solidFill>
                          <a:srgbClr val="000000"/>
                        </a:solidFill>
                        <a:latin typeface="Arial Narrow" panose="020B0606020202030204" pitchFamily="34" charset="0"/>
                      </a:defRPr>
                    </a:pPr>
                    <a:r>
                      <a:rPr lang="en-US" sz="700" b="0" i="0">
                        <a:solidFill>
                          <a:srgbClr val="000000"/>
                        </a:solidFill>
                        <a:latin typeface="Arial Narrow" panose="020B0606020202030204" pitchFamily="34" charset="0"/>
                      </a:rPr>
                      <a:t>CAN</a:t>
                    </a: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0F-55EE-4E8D-8E82-166DECEADC54}"/>
                </c:ext>
              </c:extLst>
            </c:dLbl>
            <c:spPr>
              <a:noFill/>
              <a:ln>
                <a:noFill/>
              </a:ln>
              <a:effectLst/>
            </c:spPr>
            <c:showLegendKey val="0"/>
            <c:showVal val="0"/>
            <c:showCatName val="0"/>
            <c:showSerName val="1"/>
            <c:showPercent val="0"/>
            <c:showBubbleSize val="0"/>
            <c:showLeaderLines val="0"/>
            <c:extLst>
              <c:ext xmlns:c15="http://schemas.microsoft.com/office/drawing/2012/chart" uri="{CE6537A1-D6FC-4f65-9D91-7224C49458BB}">
                <c15:showLeaderLines val="1"/>
              </c:ext>
            </c:extLst>
          </c:dLbls>
          <c:cat>
            <c:strRef>
              <c:f>'[3er5qt.xlsx]g2-1'!$D$27:$F$27</c:f>
              <c:strCache>
                <c:ptCount val="3"/>
                <c:pt idx="0">
                  <c:v>Care plans involve the service user or their representative </c:v>
                </c:pt>
                <c:pt idx="1">
                  <c:v>Care plans involve a family user or carer </c:v>
                </c:pt>
                <c:pt idx="2">
                  <c:v>Care plans include discussion of employment, educational, or other opportunities</c:v>
                </c:pt>
              </c:strCache>
            </c:strRef>
          </c:cat>
          <c:val>
            <c:numLit>
              <c:formatCode>General</c:formatCode>
              <c:ptCount val="3"/>
              <c:pt idx="0">
                <c:v>1</c:v>
              </c:pt>
              <c:pt idx="1">
                <c:v>1</c:v>
              </c:pt>
              <c:pt idx="2">
                <c:v>1</c:v>
              </c:pt>
            </c:numLit>
          </c:val>
          <c:extLst>
            <c:ext xmlns:c16="http://schemas.microsoft.com/office/drawing/2014/chart" uri="{C3380CC4-5D6E-409C-BE32-E72D297353CC}">
              <c16:uniqueId val="{00000010-55EE-4E8D-8E82-166DECEADC54}"/>
            </c:ext>
          </c:extLst>
        </c:ser>
        <c:ser>
          <c:idx val="4"/>
          <c:order val="4"/>
          <c:tx>
            <c:v>CHE</c:v>
          </c:tx>
          <c:spPr>
            <a:solidFill>
              <a:srgbClr val="83D2E3"/>
            </a:solidFill>
          </c:spPr>
          <c:invertIfNegative val="0"/>
          <c:dPt>
            <c:idx val="2"/>
            <c:invertIfNegative val="0"/>
            <c:bubble3D val="0"/>
            <c:spPr>
              <a:solidFill>
                <a:srgbClr val="83D2E3"/>
              </a:solidFill>
              <a:ln w="6350">
                <a:solidFill>
                  <a:sysClr val="windowText" lastClr="000000"/>
                </a:solidFill>
              </a:ln>
            </c:spPr>
            <c:extLst>
              <c:ext xmlns:c16="http://schemas.microsoft.com/office/drawing/2014/chart" uri="{C3380CC4-5D6E-409C-BE32-E72D297353CC}">
                <c16:uniqueId val="{00000012-55EE-4E8D-8E82-166DECEADC54}"/>
              </c:ext>
            </c:extLst>
          </c:dPt>
          <c:dLbls>
            <c:dLbl>
              <c:idx val="0"/>
              <c:tx>
                <c:rich>
                  <a:bodyPr wrap="square" lIns="38100" tIns="19050" rIns="38100" bIns="19050" anchor="ctr">
                    <a:spAutoFit/>
                  </a:bodyPr>
                  <a:lstStyle/>
                  <a:p>
                    <a:pPr>
                      <a:defRPr sz="700" b="0" i="0">
                        <a:solidFill>
                          <a:srgbClr val="000000"/>
                        </a:solidFill>
                        <a:latin typeface="Arial Narrow" panose="020B0606020202030204" pitchFamily="34" charset="0"/>
                      </a:defRPr>
                    </a:pPr>
                    <a:endParaRPr lang="en-GB" sz="700" b="0" i="0">
                      <a:solidFill>
                        <a:srgbClr val="000000"/>
                      </a:solidFill>
                      <a:latin typeface="Arial Narrow" panose="020B0606020202030204" pitchFamily="34" charset="0"/>
                    </a:endParaRP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13-55EE-4E8D-8E82-166DECEADC54}"/>
                </c:ext>
              </c:extLst>
            </c:dLbl>
            <c:dLbl>
              <c:idx val="1"/>
              <c:tx>
                <c:rich>
                  <a:bodyPr wrap="square" lIns="38100" tIns="19050" rIns="38100" bIns="19050" anchor="ctr">
                    <a:spAutoFit/>
                  </a:bodyPr>
                  <a:lstStyle/>
                  <a:p>
                    <a:pPr>
                      <a:defRPr sz="700" b="0" i="0">
                        <a:solidFill>
                          <a:srgbClr val="000000"/>
                        </a:solidFill>
                        <a:latin typeface="Arial Narrow" panose="020B0606020202030204" pitchFamily="34" charset="0"/>
                      </a:defRPr>
                    </a:pPr>
                    <a:endParaRPr lang="en-GB" sz="700" b="0" i="0">
                      <a:solidFill>
                        <a:srgbClr val="000000"/>
                      </a:solidFill>
                      <a:latin typeface="Arial Narrow" panose="020B0606020202030204" pitchFamily="34" charset="0"/>
                    </a:endParaRP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14-55EE-4E8D-8E82-166DECEADC54}"/>
                </c:ext>
              </c:extLst>
            </c:dLbl>
            <c:dLbl>
              <c:idx val="2"/>
              <c:tx>
                <c:rich>
                  <a:bodyPr wrap="square" lIns="38100" tIns="19050" rIns="38100" bIns="19050" anchor="ctr">
                    <a:spAutoFit/>
                  </a:bodyPr>
                  <a:lstStyle/>
                  <a:p>
                    <a:pPr>
                      <a:defRPr sz="700" b="0" i="0">
                        <a:solidFill>
                          <a:srgbClr val="000000"/>
                        </a:solidFill>
                        <a:latin typeface="Arial Narrow" panose="020B0606020202030204" pitchFamily="34" charset="0"/>
                      </a:defRPr>
                    </a:pPr>
                    <a:r>
                      <a:rPr lang="en-US" sz="700" b="0" i="0">
                        <a:solidFill>
                          <a:srgbClr val="000000"/>
                        </a:solidFill>
                        <a:latin typeface="Arial Narrow" panose="020B0606020202030204" pitchFamily="34" charset="0"/>
                      </a:rPr>
                      <a:t>CHE</a:t>
                    </a: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12-55EE-4E8D-8E82-166DECEADC54}"/>
                </c:ext>
              </c:extLst>
            </c:dLbl>
            <c:spPr>
              <a:noFill/>
              <a:ln>
                <a:noFill/>
              </a:ln>
              <a:effectLst/>
            </c:spPr>
            <c:showLegendKey val="0"/>
            <c:showVal val="0"/>
            <c:showCatName val="0"/>
            <c:showSerName val="1"/>
            <c:showPercent val="0"/>
            <c:showBubbleSize val="0"/>
            <c:showLeaderLines val="0"/>
            <c:extLst>
              <c:ext xmlns:c15="http://schemas.microsoft.com/office/drawing/2012/chart" uri="{CE6537A1-D6FC-4f65-9D91-7224C49458BB}">
                <c15:showLeaderLines val="1"/>
              </c:ext>
            </c:extLst>
          </c:dLbls>
          <c:cat>
            <c:strRef>
              <c:f>'[3er5qt.xlsx]g2-1'!$D$27:$F$27</c:f>
              <c:strCache>
                <c:ptCount val="3"/>
                <c:pt idx="0">
                  <c:v>Care plans involve the service user or their representative </c:v>
                </c:pt>
                <c:pt idx="1">
                  <c:v>Care plans involve a family user or carer </c:v>
                </c:pt>
                <c:pt idx="2">
                  <c:v>Care plans include discussion of employment, educational, or other opportunities</c:v>
                </c:pt>
              </c:strCache>
            </c:strRef>
          </c:cat>
          <c:val>
            <c:numLit>
              <c:formatCode>General</c:formatCode>
              <c:ptCount val="3"/>
              <c:pt idx="2">
                <c:v>1</c:v>
              </c:pt>
            </c:numLit>
          </c:val>
          <c:extLst>
            <c:ext xmlns:c16="http://schemas.microsoft.com/office/drawing/2014/chart" uri="{C3380CC4-5D6E-409C-BE32-E72D297353CC}">
              <c16:uniqueId val="{00000015-55EE-4E8D-8E82-166DECEADC54}"/>
            </c:ext>
          </c:extLst>
        </c:ser>
        <c:ser>
          <c:idx val="5"/>
          <c:order val="5"/>
          <c:tx>
            <c:v>CZE</c:v>
          </c:tx>
          <c:spPr>
            <a:ln w="6350">
              <a:solidFill>
                <a:sysClr val="windowText" lastClr="000000"/>
              </a:solidFill>
            </a:ln>
          </c:spPr>
          <c:invertIfNegative val="0"/>
          <c:dPt>
            <c:idx val="2"/>
            <c:invertIfNegative val="0"/>
            <c:bubble3D val="0"/>
            <c:spPr>
              <a:solidFill>
                <a:srgbClr val="83D2E3"/>
              </a:solidFill>
              <a:ln w="6350">
                <a:solidFill>
                  <a:sysClr val="windowText" lastClr="000000"/>
                </a:solidFill>
              </a:ln>
            </c:spPr>
            <c:extLst>
              <c:ext xmlns:c16="http://schemas.microsoft.com/office/drawing/2014/chart" uri="{C3380CC4-5D6E-409C-BE32-E72D297353CC}">
                <c16:uniqueId val="{00000017-55EE-4E8D-8E82-166DECEADC54}"/>
              </c:ext>
            </c:extLst>
          </c:dPt>
          <c:dLbls>
            <c:dLbl>
              <c:idx val="0"/>
              <c:tx>
                <c:rich>
                  <a:bodyPr wrap="square" lIns="38100" tIns="19050" rIns="38100" bIns="19050" anchor="ctr">
                    <a:spAutoFit/>
                  </a:bodyPr>
                  <a:lstStyle/>
                  <a:p>
                    <a:pPr>
                      <a:defRPr sz="700" b="0" i="0">
                        <a:solidFill>
                          <a:srgbClr val="000000"/>
                        </a:solidFill>
                        <a:latin typeface="Arial Narrow" panose="020B0606020202030204" pitchFamily="34" charset="0"/>
                      </a:defRPr>
                    </a:pPr>
                    <a:endParaRPr lang="en-GB" sz="700" b="0" i="0">
                      <a:solidFill>
                        <a:srgbClr val="000000"/>
                      </a:solidFill>
                      <a:latin typeface="Arial Narrow" panose="020B0606020202030204" pitchFamily="34" charset="0"/>
                    </a:endParaRP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18-55EE-4E8D-8E82-166DECEADC54}"/>
                </c:ext>
              </c:extLst>
            </c:dLbl>
            <c:dLbl>
              <c:idx val="1"/>
              <c:tx>
                <c:rich>
                  <a:bodyPr wrap="square" lIns="38100" tIns="19050" rIns="38100" bIns="19050" anchor="ctr">
                    <a:spAutoFit/>
                  </a:bodyPr>
                  <a:lstStyle/>
                  <a:p>
                    <a:pPr>
                      <a:defRPr sz="700" b="0" i="0">
                        <a:solidFill>
                          <a:srgbClr val="000000"/>
                        </a:solidFill>
                        <a:latin typeface="Arial Narrow" panose="020B0606020202030204" pitchFamily="34" charset="0"/>
                      </a:defRPr>
                    </a:pPr>
                    <a:endParaRPr lang="en-GB" sz="700" b="0" i="0">
                      <a:solidFill>
                        <a:srgbClr val="000000"/>
                      </a:solidFill>
                      <a:latin typeface="Arial Narrow" panose="020B0606020202030204" pitchFamily="34" charset="0"/>
                    </a:endParaRP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19-55EE-4E8D-8E82-166DECEADC54}"/>
                </c:ext>
              </c:extLst>
            </c:dLbl>
            <c:dLbl>
              <c:idx val="2"/>
              <c:tx>
                <c:rich>
                  <a:bodyPr wrap="square" lIns="38100" tIns="19050" rIns="38100" bIns="19050" anchor="ctr">
                    <a:spAutoFit/>
                  </a:bodyPr>
                  <a:lstStyle/>
                  <a:p>
                    <a:pPr>
                      <a:defRPr sz="700" b="0" i="0">
                        <a:solidFill>
                          <a:srgbClr val="000000"/>
                        </a:solidFill>
                        <a:latin typeface="Arial Narrow" panose="020B0606020202030204" pitchFamily="34" charset="0"/>
                      </a:defRPr>
                    </a:pPr>
                    <a:r>
                      <a:rPr lang="en-US" sz="700" b="0" i="0">
                        <a:solidFill>
                          <a:srgbClr val="000000"/>
                        </a:solidFill>
                        <a:latin typeface="Arial Narrow" panose="020B0606020202030204" pitchFamily="34" charset="0"/>
                      </a:rPr>
                      <a:t>CZE</a:t>
                    </a: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17-55EE-4E8D-8E82-166DECEADC54}"/>
                </c:ext>
              </c:extLst>
            </c:dLbl>
            <c:spPr>
              <a:noFill/>
              <a:ln>
                <a:noFill/>
              </a:ln>
              <a:effectLst/>
            </c:spPr>
            <c:showLegendKey val="0"/>
            <c:showVal val="0"/>
            <c:showCatName val="0"/>
            <c:showSerName val="1"/>
            <c:showPercent val="0"/>
            <c:showBubbleSize val="0"/>
            <c:showLeaderLines val="0"/>
            <c:extLst>
              <c:ext xmlns:c15="http://schemas.microsoft.com/office/drawing/2012/chart" uri="{CE6537A1-D6FC-4f65-9D91-7224C49458BB}">
                <c15:showLeaderLines val="1"/>
              </c:ext>
            </c:extLst>
          </c:dLbls>
          <c:cat>
            <c:strRef>
              <c:f>'[3er5qt.xlsx]g2-1'!$D$27:$F$27</c:f>
              <c:strCache>
                <c:ptCount val="3"/>
                <c:pt idx="0">
                  <c:v>Care plans involve the service user or their representative </c:v>
                </c:pt>
                <c:pt idx="1">
                  <c:v>Care plans involve a family user or carer </c:v>
                </c:pt>
                <c:pt idx="2">
                  <c:v>Care plans include discussion of employment, educational, or other opportunities</c:v>
                </c:pt>
              </c:strCache>
            </c:strRef>
          </c:cat>
          <c:val>
            <c:numLit>
              <c:formatCode>General</c:formatCode>
              <c:ptCount val="3"/>
              <c:pt idx="2">
                <c:v>1</c:v>
              </c:pt>
            </c:numLit>
          </c:val>
          <c:extLst>
            <c:ext xmlns:c16="http://schemas.microsoft.com/office/drawing/2014/chart" uri="{C3380CC4-5D6E-409C-BE32-E72D297353CC}">
              <c16:uniqueId val="{0000001A-55EE-4E8D-8E82-166DECEADC54}"/>
            </c:ext>
          </c:extLst>
        </c:ser>
        <c:ser>
          <c:idx val="6"/>
          <c:order val="6"/>
          <c:tx>
            <c:v>DEN</c:v>
          </c:tx>
          <c:spPr>
            <a:ln w="6350">
              <a:solidFill>
                <a:sysClr val="windowText" lastClr="000000"/>
              </a:solidFill>
            </a:ln>
          </c:spPr>
          <c:invertIfNegative val="0"/>
          <c:dPt>
            <c:idx val="0"/>
            <c:invertIfNegative val="0"/>
            <c:bubble3D val="0"/>
            <c:spPr>
              <a:solidFill>
                <a:srgbClr val="006BB6"/>
              </a:solidFill>
              <a:ln w="6350">
                <a:solidFill>
                  <a:sysClr val="windowText" lastClr="000000"/>
                </a:solidFill>
              </a:ln>
            </c:spPr>
            <c:extLst>
              <c:ext xmlns:c16="http://schemas.microsoft.com/office/drawing/2014/chart" uri="{C3380CC4-5D6E-409C-BE32-E72D297353CC}">
                <c16:uniqueId val="{0000001C-55EE-4E8D-8E82-166DECEADC54}"/>
              </c:ext>
            </c:extLst>
          </c:dPt>
          <c:dPt>
            <c:idx val="1"/>
            <c:invertIfNegative val="0"/>
            <c:bubble3D val="0"/>
            <c:spPr>
              <a:solidFill>
                <a:srgbClr val="83D2E3"/>
              </a:solidFill>
              <a:ln w="6350">
                <a:solidFill>
                  <a:sysClr val="windowText" lastClr="000000"/>
                </a:solidFill>
              </a:ln>
            </c:spPr>
            <c:extLst>
              <c:ext xmlns:c16="http://schemas.microsoft.com/office/drawing/2014/chart" uri="{C3380CC4-5D6E-409C-BE32-E72D297353CC}">
                <c16:uniqueId val="{0000001E-55EE-4E8D-8E82-166DECEADC54}"/>
              </c:ext>
            </c:extLst>
          </c:dPt>
          <c:dPt>
            <c:idx val="2"/>
            <c:invertIfNegative val="0"/>
            <c:bubble3D val="0"/>
            <c:spPr>
              <a:solidFill>
                <a:srgbClr val="7FA8D9"/>
              </a:solidFill>
              <a:ln w="6350">
                <a:solidFill>
                  <a:sysClr val="windowText" lastClr="000000"/>
                </a:solidFill>
              </a:ln>
            </c:spPr>
            <c:extLst>
              <c:ext xmlns:c16="http://schemas.microsoft.com/office/drawing/2014/chart" uri="{C3380CC4-5D6E-409C-BE32-E72D297353CC}">
                <c16:uniqueId val="{00000020-55EE-4E8D-8E82-166DECEADC54}"/>
              </c:ext>
            </c:extLst>
          </c:dPt>
          <c:dLbls>
            <c:dLbl>
              <c:idx val="0"/>
              <c:tx>
                <c:rich>
                  <a:bodyPr wrap="square" lIns="38100" tIns="19050" rIns="38100" bIns="19050" anchor="ctr">
                    <a:spAutoFit/>
                  </a:bodyPr>
                  <a:lstStyle/>
                  <a:p>
                    <a:pPr>
                      <a:defRPr sz="700" b="0" i="0">
                        <a:solidFill>
                          <a:srgbClr val="000000"/>
                        </a:solidFill>
                        <a:latin typeface="Arial Narrow" panose="020B0606020202030204" pitchFamily="34" charset="0"/>
                      </a:defRPr>
                    </a:pPr>
                    <a:r>
                      <a:rPr lang="en-US" sz="700" b="0" i="0">
                        <a:solidFill>
                          <a:srgbClr val="000000"/>
                        </a:solidFill>
                        <a:latin typeface="Arial Narrow" panose="020B0606020202030204" pitchFamily="34" charset="0"/>
                      </a:rPr>
                      <a:t>DEN</a:t>
                    </a: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1C-55EE-4E8D-8E82-166DECEADC54}"/>
                </c:ext>
              </c:extLst>
            </c:dLbl>
            <c:dLbl>
              <c:idx val="1"/>
              <c:tx>
                <c:rich>
                  <a:bodyPr wrap="square" lIns="38100" tIns="19050" rIns="38100" bIns="19050" anchor="ctr">
                    <a:spAutoFit/>
                  </a:bodyPr>
                  <a:lstStyle/>
                  <a:p>
                    <a:pPr>
                      <a:defRPr sz="700" b="0" i="0">
                        <a:solidFill>
                          <a:srgbClr val="000000"/>
                        </a:solidFill>
                        <a:latin typeface="Arial Narrow" panose="020B0606020202030204" pitchFamily="34" charset="0"/>
                      </a:defRPr>
                    </a:pPr>
                    <a:r>
                      <a:rPr lang="en-US" sz="700" b="0" i="0">
                        <a:solidFill>
                          <a:srgbClr val="000000"/>
                        </a:solidFill>
                        <a:latin typeface="Arial Narrow" panose="020B0606020202030204" pitchFamily="34" charset="0"/>
                      </a:rPr>
                      <a:t>DEN</a:t>
                    </a: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1E-55EE-4E8D-8E82-166DECEADC54}"/>
                </c:ext>
              </c:extLst>
            </c:dLbl>
            <c:dLbl>
              <c:idx val="2"/>
              <c:tx>
                <c:rich>
                  <a:bodyPr wrap="square" lIns="38100" tIns="19050" rIns="38100" bIns="19050" anchor="ctr">
                    <a:spAutoFit/>
                  </a:bodyPr>
                  <a:lstStyle/>
                  <a:p>
                    <a:pPr>
                      <a:defRPr sz="700" b="0" i="0">
                        <a:solidFill>
                          <a:srgbClr val="000000"/>
                        </a:solidFill>
                        <a:latin typeface="Arial Narrow" panose="020B0606020202030204" pitchFamily="34" charset="0"/>
                      </a:defRPr>
                    </a:pPr>
                    <a:r>
                      <a:rPr lang="en-US" sz="700" b="0" i="0">
                        <a:solidFill>
                          <a:srgbClr val="000000"/>
                        </a:solidFill>
                        <a:latin typeface="Arial Narrow" panose="020B0606020202030204" pitchFamily="34" charset="0"/>
                      </a:rPr>
                      <a:t>DEN</a:t>
                    </a: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20-55EE-4E8D-8E82-166DECEADC54}"/>
                </c:ext>
              </c:extLst>
            </c:dLbl>
            <c:spPr>
              <a:noFill/>
              <a:ln>
                <a:noFill/>
              </a:ln>
              <a:effectLst/>
            </c:spPr>
            <c:showLegendKey val="0"/>
            <c:showVal val="0"/>
            <c:showCatName val="0"/>
            <c:showSerName val="1"/>
            <c:showPercent val="0"/>
            <c:showBubbleSize val="0"/>
            <c:showLeaderLines val="0"/>
            <c:extLst>
              <c:ext xmlns:c15="http://schemas.microsoft.com/office/drawing/2012/chart" uri="{CE6537A1-D6FC-4f65-9D91-7224C49458BB}">
                <c15:showLeaderLines val="1"/>
              </c:ext>
            </c:extLst>
          </c:dLbls>
          <c:cat>
            <c:strRef>
              <c:f>'[3er5qt.xlsx]g2-1'!$D$27:$F$27</c:f>
              <c:strCache>
                <c:ptCount val="3"/>
                <c:pt idx="0">
                  <c:v>Care plans involve the service user or their representative </c:v>
                </c:pt>
                <c:pt idx="1">
                  <c:v>Care plans involve a family user or carer </c:v>
                </c:pt>
                <c:pt idx="2">
                  <c:v>Care plans include discussion of employment, educational, or other opportunities</c:v>
                </c:pt>
              </c:strCache>
            </c:strRef>
          </c:cat>
          <c:val>
            <c:numLit>
              <c:formatCode>General</c:formatCode>
              <c:ptCount val="3"/>
              <c:pt idx="0">
                <c:v>1</c:v>
              </c:pt>
              <c:pt idx="1">
                <c:v>1</c:v>
              </c:pt>
              <c:pt idx="2">
                <c:v>1</c:v>
              </c:pt>
            </c:numLit>
          </c:val>
          <c:extLst>
            <c:ext xmlns:c16="http://schemas.microsoft.com/office/drawing/2014/chart" uri="{C3380CC4-5D6E-409C-BE32-E72D297353CC}">
              <c16:uniqueId val="{00000021-55EE-4E8D-8E82-166DECEADC54}"/>
            </c:ext>
          </c:extLst>
        </c:ser>
        <c:ser>
          <c:idx val="7"/>
          <c:order val="7"/>
          <c:tx>
            <c:v>EST</c:v>
          </c:tx>
          <c:spPr>
            <a:solidFill>
              <a:srgbClr val="83D2E3"/>
            </a:solidFill>
            <a:ln w="6350">
              <a:solidFill>
                <a:sysClr val="windowText" lastClr="000000"/>
              </a:solidFill>
            </a:ln>
          </c:spPr>
          <c:invertIfNegative val="0"/>
          <c:dLbls>
            <c:dLbl>
              <c:idx val="0"/>
              <c:tx>
                <c:rich>
                  <a:bodyPr wrap="square" lIns="38100" tIns="19050" rIns="38100" bIns="19050" anchor="ctr">
                    <a:spAutoFit/>
                  </a:bodyPr>
                  <a:lstStyle/>
                  <a:p>
                    <a:pPr>
                      <a:defRPr sz="700" b="0" i="0">
                        <a:solidFill>
                          <a:srgbClr val="000000"/>
                        </a:solidFill>
                        <a:latin typeface="Arial Narrow" panose="020B0606020202030204" pitchFamily="34" charset="0"/>
                      </a:defRPr>
                    </a:pPr>
                    <a:r>
                      <a:rPr lang="en-US" sz="700" b="0" i="0">
                        <a:solidFill>
                          <a:srgbClr val="000000"/>
                        </a:solidFill>
                        <a:latin typeface="Arial Narrow" panose="020B0606020202030204" pitchFamily="34" charset="0"/>
                      </a:rPr>
                      <a:t>EST</a:t>
                    </a: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22-55EE-4E8D-8E82-166DECEADC54}"/>
                </c:ext>
              </c:extLst>
            </c:dLbl>
            <c:dLbl>
              <c:idx val="1"/>
              <c:tx>
                <c:rich>
                  <a:bodyPr wrap="square" lIns="38100" tIns="19050" rIns="38100" bIns="19050" anchor="ctr">
                    <a:spAutoFit/>
                  </a:bodyPr>
                  <a:lstStyle/>
                  <a:p>
                    <a:pPr>
                      <a:defRPr sz="700" b="0" i="0">
                        <a:solidFill>
                          <a:srgbClr val="000000"/>
                        </a:solidFill>
                        <a:latin typeface="Arial Narrow" panose="020B0606020202030204" pitchFamily="34" charset="0"/>
                      </a:defRPr>
                    </a:pPr>
                    <a:r>
                      <a:rPr lang="en-US" sz="700" b="0" i="0">
                        <a:solidFill>
                          <a:srgbClr val="000000"/>
                        </a:solidFill>
                        <a:latin typeface="Arial Narrow" panose="020B0606020202030204" pitchFamily="34" charset="0"/>
                      </a:rPr>
                      <a:t>EST</a:t>
                    </a: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23-55EE-4E8D-8E82-166DECEADC54}"/>
                </c:ext>
              </c:extLst>
            </c:dLbl>
            <c:dLbl>
              <c:idx val="2"/>
              <c:tx>
                <c:rich>
                  <a:bodyPr wrap="square" lIns="38100" tIns="19050" rIns="38100" bIns="19050" anchor="ctr">
                    <a:spAutoFit/>
                  </a:bodyPr>
                  <a:lstStyle/>
                  <a:p>
                    <a:pPr>
                      <a:defRPr sz="700" b="0" i="0">
                        <a:solidFill>
                          <a:srgbClr val="000000"/>
                        </a:solidFill>
                        <a:latin typeface="Arial Narrow" panose="020B0606020202030204" pitchFamily="34" charset="0"/>
                      </a:defRPr>
                    </a:pPr>
                    <a:endParaRPr lang="en-GB" sz="700" b="0" i="0">
                      <a:solidFill>
                        <a:srgbClr val="000000"/>
                      </a:solidFill>
                      <a:latin typeface="Arial Narrow" panose="020B0606020202030204" pitchFamily="34" charset="0"/>
                    </a:endParaRP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24-55EE-4E8D-8E82-166DECEADC54}"/>
                </c:ext>
              </c:extLst>
            </c:dLbl>
            <c:spPr>
              <a:noFill/>
              <a:ln>
                <a:noFill/>
              </a:ln>
              <a:effectLst/>
            </c:spPr>
            <c:showLegendKey val="0"/>
            <c:showVal val="0"/>
            <c:showCatName val="0"/>
            <c:showSerName val="1"/>
            <c:showPercent val="0"/>
            <c:showBubbleSize val="0"/>
            <c:showLeaderLines val="0"/>
            <c:extLst>
              <c:ext xmlns:c15="http://schemas.microsoft.com/office/drawing/2012/chart" uri="{CE6537A1-D6FC-4f65-9D91-7224C49458BB}">
                <c15:showLeaderLines val="1"/>
              </c:ext>
            </c:extLst>
          </c:dLbls>
          <c:cat>
            <c:strRef>
              <c:f>'[3er5qt.xlsx]g2-1'!$D$27:$F$27</c:f>
              <c:strCache>
                <c:ptCount val="3"/>
                <c:pt idx="0">
                  <c:v>Care plans involve the service user or their representative </c:v>
                </c:pt>
                <c:pt idx="1">
                  <c:v>Care plans involve a family user or carer </c:v>
                </c:pt>
                <c:pt idx="2">
                  <c:v>Care plans include discussion of employment, educational, or other opportunities</c:v>
                </c:pt>
              </c:strCache>
            </c:strRef>
          </c:cat>
          <c:val>
            <c:numLit>
              <c:formatCode>General</c:formatCode>
              <c:ptCount val="3"/>
              <c:pt idx="0">
                <c:v>1</c:v>
              </c:pt>
              <c:pt idx="1">
                <c:v>1</c:v>
              </c:pt>
            </c:numLit>
          </c:val>
          <c:extLst>
            <c:ext xmlns:c16="http://schemas.microsoft.com/office/drawing/2014/chart" uri="{C3380CC4-5D6E-409C-BE32-E72D297353CC}">
              <c16:uniqueId val="{00000025-55EE-4E8D-8E82-166DECEADC54}"/>
            </c:ext>
          </c:extLst>
        </c:ser>
        <c:ser>
          <c:idx val="8"/>
          <c:order val="8"/>
          <c:tx>
            <c:strRef>
              <c:f>'[3er5qt.xlsx]g2-1'!$C$35</c:f>
              <c:strCache>
                <c:ptCount val="1"/>
                <c:pt idx="0">
                  <c:v>EST</c:v>
                </c:pt>
              </c:strCache>
            </c:strRef>
          </c:tx>
          <c:spPr>
            <a:solidFill>
              <a:srgbClr val="83D2E3"/>
            </a:solidFill>
            <a:ln w="6350">
              <a:solidFill>
                <a:sysClr val="windowText" lastClr="000000"/>
              </a:solidFill>
            </a:ln>
          </c:spPr>
          <c:invertIfNegative val="0"/>
          <c:dLbls>
            <c:dLbl>
              <c:idx val="0"/>
              <c:tx>
                <c:rich>
                  <a:bodyPr wrap="square" lIns="38100" tIns="19050" rIns="38100" bIns="19050" anchor="ctr">
                    <a:spAutoFit/>
                  </a:bodyPr>
                  <a:lstStyle/>
                  <a:p>
                    <a:pPr>
                      <a:defRPr sz="700" b="0" i="0">
                        <a:solidFill>
                          <a:srgbClr val="000000"/>
                        </a:solidFill>
                        <a:latin typeface="Arial Narrow" panose="020B0606020202030204" pitchFamily="34" charset="0"/>
                      </a:defRPr>
                    </a:pPr>
                    <a:r>
                      <a:rPr lang="en-US" sz="700" b="0" i="0">
                        <a:solidFill>
                          <a:srgbClr val="000000"/>
                        </a:solidFill>
                        <a:latin typeface="Arial Narrow" panose="020B0606020202030204" pitchFamily="34" charset="0"/>
                      </a:rPr>
                      <a:t>EST</a:t>
                    </a: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26-55EE-4E8D-8E82-166DECEADC54}"/>
                </c:ext>
              </c:extLst>
            </c:dLbl>
            <c:dLbl>
              <c:idx val="1"/>
              <c:tx>
                <c:rich>
                  <a:bodyPr wrap="square" lIns="38100" tIns="19050" rIns="38100" bIns="19050" anchor="ctr">
                    <a:spAutoFit/>
                  </a:bodyPr>
                  <a:lstStyle/>
                  <a:p>
                    <a:pPr>
                      <a:defRPr sz="700" b="0" i="0">
                        <a:solidFill>
                          <a:srgbClr val="000000"/>
                        </a:solidFill>
                        <a:latin typeface="Arial Narrow" panose="020B0606020202030204" pitchFamily="34" charset="0"/>
                      </a:defRPr>
                    </a:pPr>
                    <a:r>
                      <a:rPr lang="en-US" sz="700" b="0" i="0">
                        <a:solidFill>
                          <a:srgbClr val="000000"/>
                        </a:solidFill>
                        <a:latin typeface="Arial Narrow" panose="020B0606020202030204" pitchFamily="34" charset="0"/>
                      </a:rPr>
                      <a:t>EST</a:t>
                    </a: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27-55EE-4E8D-8E82-166DECEADC54}"/>
                </c:ext>
              </c:extLst>
            </c:dLbl>
            <c:dLbl>
              <c:idx val="2"/>
              <c:tx>
                <c:rich>
                  <a:bodyPr wrap="square" lIns="38100" tIns="19050" rIns="38100" bIns="19050" anchor="ctr">
                    <a:spAutoFit/>
                  </a:bodyPr>
                  <a:lstStyle/>
                  <a:p>
                    <a:pPr>
                      <a:defRPr sz="700" b="0" i="0">
                        <a:solidFill>
                          <a:srgbClr val="000000"/>
                        </a:solidFill>
                        <a:latin typeface="Arial Narrow" panose="020B0606020202030204" pitchFamily="34" charset="0"/>
                      </a:defRPr>
                    </a:pPr>
                    <a:endParaRPr lang="en-GB" sz="700" b="0" i="0">
                      <a:solidFill>
                        <a:srgbClr val="000000"/>
                      </a:solidFill>
                      <a:latin typeface="Arial Narrow" panose="020B0606020202030204" pitchFamily="34" charset="0"/>
                    </a:endParaRP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28-55EE-4E8D-8E82-166DECEADC54}"/>
                </c:ext>
              </c:extLst>
            </c:dLbl>
            <c:spPr>
              <a:noFill/>
              <a:ln>
                <a:noFill/>
              </a:ln>
              <a:effectLst/>
            </c:spPr>
            <c:showLegendKey val="0"/>
            <c:showVal val="0"/>
            <c:showCatName val="0"/>
            <c:showSerName val="1"/>
            <c:showPercent val="0"/>
            <c:showBubbleSize val="0"/>
            <c:showLeaderLines val="0"/>
            <c:extLst>
              <c:ext xmlns:c15="http://schemas.microsoft.com/office/drawing/2012/chart" uri="{CE6537A1-D6FC-4f65-9D91-7224C49458BB}">
                <c15:showLeaderLines val="1"/>
              </c:ext>
            </c:extLst>
          </c:dLbls>
          <c:cat>
            <c:strRef>
              <c:f>'[3er5qt.xlsx]g2-1'!$D$27:$F$27</c:f>
              <c:strCache>
                <c:ptCount val="3"/>
                <c:pt idx="0">
                  <c:v>Care plans involve the service user or their representative </c:v>
                </c:pt>
                <c:pt idx="1">
                  <c:v>Care plans involve a family user or carer </c:v>
                </c:pt>
                <c:pt idx="2">
                  <c:v>Care plans include discussion of employment, educational, or other opportunities</c:v>
                </c:pt>
              </c:strCache>
            </c:strRef>
          </c:cat>
          <c:val>
            <c:numRef>
              <c:f>'[3er5qt.xlsx]g2-1'!$D$35:$F$35</c:f>
              <c:numCache>
                <c:formatCode>General</c:formatCode>
                <c:ptCount val="3"/>
                <c:pt idx="0">
                  <c:v>1</c:v>
                </c:pt>
                <c:pt idx="1">
                  <c:v>1</c:v>
                </c:pt>
              </c:numCache>
            </c:numRef>
          </c:val>
          <c:extLst>
            <c:ext xmlns:c16="http://schemas.microsoft.com/office/drawing/2014/chart" uri="{C3380CC4-5D6E-409C-BE32-E72D297353CC}">
              <c16:uniqueId val="{00000029-55EE-4E8D-8E82-166DECEADC54}"/>
            </c:ext>
          </c:extLst>
        </c:ser>
        <c:ser>
          <c:idx val="9"/>
          <c:order val="9"/>
          <c:tx>
            <c:strRef>
              <c:f>'[3er5qt.xlsx]g2-1'!$C$36</c:f>
              <c:strCache>
                <c:ptCount val="1"/>
                <c:pt idx="0">
                  <c:v>GBR</c:v>
                </c:pt>
              </c:strCache>
            </c:strRef>
          </c:tx>
          <c:spPr>
            <a:solidFill>
              <a:srgbClr val="83D2E3"/>
            </a:solidFill>
            <a:ln w="6350">
              <a:solidFill>
                <a:sysClr val="windowText" lastClr="000000"/>
              </a:solidFill>
            </a:ln>
          </c:spPr>
          <c:invertIfNegative val="0"/>
          <c:dLbls>
            <c:dLbl>
              <c:idx val="0"/>
              <c:tx>
                <c:rich>
                  <a:bodyPr wrap="square" lIns="38100" tIns="19050" rIns="38100" bIns="19050" anchor="ctr">
                    <a:spAutoFit/>
                  </a:bodyPr>
                  <a:lstStyle/>
                  <a:p>
                    <a:pPr>
                      <a:defRPr sz="700" b="0" i="0">
                        <a:solidFill>
                          <a:srgbClr val="000000"/>
                        </a:solidFill>
                        <a:latin typeface="Arial Narrow" panose="020B0606020202030204" pitchFamily="34" charset="0"/>
                      </a:defRPr>
                    </a:pPr>
                    <a:r>
                      <a:rPr lang="en-US" sz="700" b="0" i="0">
                        <a:solidFill>
                          <a:srgbClr val="000000"/>
                        </a:solidFill>
                        <a:latin typeface="Arial Narrow" panose="020B0606020202030204" pitchFamily="34" charset="0"/>
                      </a:rPr>
                      <a:t>GBR</a:t>
                    </a: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2A-55EE-4E8D-8E82-166DECEADC54}"/>
                </c:ext>
              </c:extLst>
            </c:dLbl>
            <c:dLbl>
              <c:idx val="1"/>
              <c:tx>
                <c:rich>
                  <a:bodyPr wrap="square" lIns="38100" tIns="19050" rIns="38100" bIns="19050" anchor="ctr">
                    <a:spAutoFit/>
                  </a:bodyPr>
                  <a:lstStyle/>
                  <a:p>
                    <a:pPr>
                      <a:defRPr sz="700" b="0" i="0">
                        <a:solidFill>
                          <a:srgbClr val="000000"/>
                        </a:solidFill>
                        <a:latin typeface="Arial Narrow" panose="020B0606020202030204" pitchFamily="34" charset="0"/>
                      </a:defRPr>
                    </a:pPr>
                    <a:r>
                      <a:rPr lang="en-US" sz="700" b="0" i="0">
                        <a:solidFill>
                          <a:srgbClr val="000000"/>
                        </a:solidFill>
                        <a:latin typeface="Arial Narrow" panose="020B0606020202030204" pitchFamily="34" charset="0"/>
                      </a:rPr>
                      <a:t>GBR</a:t>
                    </a: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2B-55EE-4E8D-8E82-166DECEADC54}"/>
                </c:ext>
              </c:extLst>
            </c:dLbl>
            <c:dLbl>
              <c:idx val="2"/>
              <c:tx>
                <c:rich>
                  <a:bodyPr wrap="square" lIns="38100" tIns="19050" rIns="38100" bIns="19050" anchor="ctr">
                    <a:spAutoFit/>
                  </a:bodyPr>
                  <a:lstStyle/>
                  <a:p>
                    <a:pPr>
                      <a:defRPr sz="700" b="0" i="0">
                        <a:solidFill>
                          <a:srgbClr val="000000"/>
                        </a:solidFill>
                        <a:latin typeface="Arial Narrow" panose="020B0606020202030204" pitchFamily="34" charset="0"/>
                      </a:defRPr>
                    </a:pPr>
                    <a:endParaRPr lang="en-GB" sz="700" b="0" i="0">
                      <a:solidFill>
                        <a:srgbClr val="000000"/>
                      </a:solidFill>
                      <a:latin typeface="Arial Narrow" panose="020B0606020202030204" pitchFamily="34" charset="0"/>
                    </a:endParaRP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2C-55EE-4E8D-8E82-166DECEADC54}"/>
                </c:ext>
              </c:extLst>
            </c:dLbl>
            <c:spPr>
              <a:noFill/>
              <a:ln>
                <a:noFill/>
              </a:ln>
              <a:effectLst/>
            </c:spPr>
            <c:showLegendKey val="0"/>
            <c:showVal val="0"/>
            <c:showCatName val="0"/>
            <c:showSerName val="1"/>
            <c:showPercent val="0"/>
            <c:showBubbleSize val="0"/>
            <c:showLeaderLines val="0"/>
            <c:extLst>
              <c:ext xmlns:c15="http://schemas.microsoft.com/office/drawing/2012/chart" uri="{CE6537A1-D6FC-4f65-9D91-7224C49458BB}">
                <c15:showLeaderLines val="1"/>
              </c:ext>
            </c:extLst>
          </c:dLbls>
          <c:cat>
            <c:strRef>
              <c:f>'[3er5qt.xlsx]g2-1'!$D$27:$F$27</c:f>
              <c:strCache>
                <c:ptCount val="3"/>
                <c:pt idx="0">
                  <c:v>Care plans involve the service user or their representative </c:v>
                </c:pt>
                <c:pt idx="1">
                  <c:v>Care plans involve a family user or carer </c:v>
                </c:pt>
                <c:pt idx="2">
                  <c:v>Care plans include discussion of employment, educational, or other opportunities</c:v>
                </c:pt>
              </c:strCache>
            </c:strRef>
          </c:cat>
          <c:val>
            <c:numRef>
              <c:f>'[3er5qt.xlsx]g2-1'!$D$36:$F$36</c:f>
              <c:numCache>
                <c:formatCode>General</c:formatCode>
                <c:ptCount val="3"/>
                <c:pt idx="0">
                  <c:v>1</c:v>
                </c:pt>
                <c:pt idx="1">
                  <c:v>1</c:v>
                </c:pt>
              </c:numCache>
            </c:numRef>
          </c:val>
          <c:extLst>
            <c:ext xmlns:c16="http://schemas.microsoft.com/office/drawing/2014/chart" uri="{C3380CC4-5D6E-409C-BE32-E72D297353CC}">
              <c16:uniqueId val="{0000002D-55EE-4E8D-8E82-166DECEADC54}"/>
            </c:ext>
          </c:extLst>
        </c:ser>
        <c:ser>
          <c:idx val="10"/>
          <c:order val="10"/>
          <c:tx>
            <c:strRef>
              <c:f>'[3er5qt.xlsx]g2-1'!$C$38</c:f>
              <c:strCache>
                <c:ptCount val="1"/>
                <c:pt idx="0">
                  <c:v>GRC</c:v>
                </c:pt>
              </c:strCache>
            </c:strRef>
          </c:tx>
          <c:spPr>
            <a:ln w="6350">
              <a:solidFill>
                <a:sysClr val="windowText" lastClr="000000"/>
              </a:solidFill>
            </a:ln>
          </c:spPr>
          <c:invertIfNegative val="0"/>
          <c:dPt>
            <c:idx val="0"/>
            <c:invertIfNegative val="0"/>
            <c:bubble3D val="0"/>
            <c:spPr>
              <a:solidFill>
                <a:srgbClr val="006BB6"/>
              </a:solidFill>
              <a:ln w="6350">
                <a:solidFill>
                  <a:sysClr val="windowText" lastClr="000000"/>
                </a:solidFill>
              </a:ln>
            </c:spPr>
            <c:extLst>
              <c:ext xmlns:c16="http://schemas.microsoft.com/office/drawing/2014/chart" uri="{C3380CC4-5D6E-409C-BE32-E72D297353CC}">
                <c16:uniqueId val="{0000002F-55EE-4E8D-8E82-166DECEADC54}"/>
              </c:ext>
            </c:extLst>
          </c:dPt>
          <c:dPt>
            <c:idx val="1"/>
            <c:invertIfNegative val="0"/>
            <c:bubble3D val="0"/>
            <c:spPr>
              <a:solidFill>
                <a:srgbClr val="7FA8D9"/>
              </a:solidFill>
              <a:ln w="6350">
                <a:solidFill>
                  <a:sysClr val="windowText" lastClr="000000"/>
                </a:solidFill>
              </a:ln>
            </c:spPr>
            <c:extLst>
              <c:ext xmlns:c16="http://schemas.microsoft.com/office/drawing/2014/chart" uri="{C3380CC4-5D6E-409C-BE32-E72D297353CC}">
                <c16:uniqueId val="{00000031-55EE-4E8D-8E82-166DECEADC54}"/>
              </c:ext>
            </c:extLst>
          </c:dPt>
          <c:dLbls>
            <c:dLbl>
              <c:idx val="0"/>
              <c:tx>
                <c:rich>
                  <a:bodyPr wrap="square" lIns="38100" tIns="19050" rIns="38100" bIns="19050" anchor="ctr">
                    <a:spAutoFit/>
                  </a:bodyPr>
                  <a:lstStyle/>
                  <a:p>
                    <a:pPr>
                      <a:defRPr sz="1050" b="1" i="0">
                        <a:solidFill>
                          <a:srgbClr val="000000"/>
                        </a:solidFill>
                        <a:latin typeface="Arial Narrow" panose="020B0606020202030204" pitchFamily="34" charset="0"/>
                      </a:defRPr>
                    </a:pPr>
                    <a:r>
                      <a:rPr lang="en-US" sz="1050" b="1" i="0">
                        <a:solidFill>
                          <a:srgbClr val="000000"/>
                        </a:solidFill>
                        <a:latin typeface="Arial Narrow" panose="020B0606020202030204" pitchFamily="34" charset="0"/>
                      </a:rPr>
                      <a:t>GRC</a:t>
                    </a: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2F-55EE-4E8D-8E82-166DECEADC54}"/>
                </c:ext>
              </c:extLst>
            </c:dLbl>
            <c:dLbl>
              <c:idx val="1"/>
              <c:tx>
                <c:rich>
                  <a:bodyPr wrap="square" lIns="38100" tIns="19050" rIns="38100" bIns="19050" anchor="ctr">
                    <a:spAutoFit/>
                  </a:bodyPr>
                  <a:lstStyle/>
                  <a:p>
                    <a:pPr>
                      <a:defRPr sz="1050" b="1" i="0">
                        <a:solidFill>
                          <a:srgbClr val="000000"/>
                        </a:solidFill>
                        <a:latin typeface="Arial Narrow" panose="020B0606020202030204" pitchFamily="34" charset="0"/>
                      </a:defRPr>
                    </a:pPr>
                    <a:r>
                      <a:rPr lang="en-US" sz="1050" b="1" i="0">
                        <a:solidFill>
                          <a:srgbClr val="000000"/>
                        </a:solidFill>
                        <a:latin typeface="Arial Narrow" panose="020B0606020202030204" pitchFamily="34" charset="0"/>
                      </a:rPr>
                      <a:t>GRC</a:t>
                    </a: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31-55EE-4E8D-8E82-166DECEADC54}"/>
                </c:ext>
              </c:extLst>
            </c:dLbl>
            <c:dLbl>
              <c:idx val="2"/>
              <c:tx>
                <c:rich>
                  <a:bodyPr wrap="square" lIns="38100" tIns="19050" rIns="38100" bIns="19050" anchor="ctr">
                    <a:spAutoFit/>
                  </a:bodyPr>
                  <a:lstStyle/>
                  <a:p>
                    <a:pPr>
                      <a:defRPr sz="1050" b="1" i="0">
                        <a:solidFill>
                          <a:srgbClr val="000000"/>
                        </a:solidFill>
                        <a:latin typeface="Arial Narrow" panose="020B0606020202030204" pitchFamily="34" charset="0"/>
                      </a:defRPr>
                    </a:pPr>
                    <a:endParaRPr lang="en-GB" sz="1050" b="1" i="0">
                      <a:solidFill>
                        <a:srgbClr val="000000"/>
                      </a:solidFill>
                      <a:latin typeface="Arial Narrow" panose="020B0606020202030204" pitchFamily="34" charset="0"/>
                    </a:endParaRP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32-55EE-4E8D-8E82-166DECEADC54}"/>
                </c:ext>
              </c:extLst>
            </c:dLbl>
            <c:spPr>
              <a:noFill/>
              <a:ln>
                <a:noFill/>
              </a:ln>
              <a:effectLst/>
            </c:spPr>
            <c:txPr>
              <a:bodyPr wrap="square" lIns="38100" tIns="19050" rIns="38100" bIns="19050" anchor="ctr">
                <a:spAutoFit/>
              </a:bodyPr>
              <a:lstStyle/>
              <a:p>
                <a:pPr>
                  <a:defRPr sz="1050" b="1"/>
                </a:pPr>
                <a:endParaRPr lang="el-GR"/>
              </a:p>
            </c:txPr>
            <c:showLegendKey val="0"/>
            <c:showVal val="0"/>
            <c:showCatName val="0"/>
            <c:showSerName val="1"/>
            <c:showPercent val="0"/>
            <c:showBubbleSize val="0"/>
            <c:showLeaderLines val="0"/>
            <c:extLst>
              <c:ext xmlns:c15="http://schemas.microsoft.com/office/drawing/2012/chart" uri="{CE6537A1-D6FC-4f65-9D91-7224C49458BB}">
                <c15:showLeaderLines val="1"/>
              </c:ext>
            </c:extLst>
          </c:dLbls>
          <c:cat>
            <c:strRef>
              <c:f>'[3er5qt.xlsx]g2-1'!$D$27:$F$27</c:f>
              <c:strCache>
                <c:ptCount val="3"/>
                <c:pt idx="0">
                  <c:v>Care plans involve the service user or their representative </c:v>
                </c:pt>
                <c:pt idx="1">
                  <c:v>Care plans involve a family user or carer </c:v>
                </c:pt>
                <c:pt idx="2">
                  <c:v>Care plans include discussion of employment, educational, or other opportunities</c:v>
                </c:pt>
              </c:strCache>
            </c:strRef>
          </c:cat>
          <c:val>
            <c:numRef>
              <c:f>'[3er5qt.xlsx]g2-1'!$D$38:$F$38</c:f>
              <c:numCache>
                <c:formatCode>General</c:formatCode>
                <c:ptCount val="3"/>
                <c:pt idx="0">
                  <c:v>1</c:v>
                </c:pt>
                <c:pt idx="1">
                  <c:v>1</c:v>
                </c:pt>
              </c:numCache>
            </c:numRef>
          </c:val>
          <c:extLst>
            <c:ext xmlns:c16="http://schemas.microsoft.com/office/drawing/2014/chart" uri="{C3380CC4-5D6E-409C-BE32-E72D297353CC}">
              <c16:uniqueId val="{00000033-55EE-4E8D-8E82-166DECEADC54}"/>
            </c:ext>
          </c:extLst>
        </c:ser>
        <c:ser>
          <c:idx val="11"/>
          <c:order val="11"/>
          <c:tx>
            <c:strRef>
              <c:f>'[3er5qt.xlsx]g2-1'!$C$39</c:f>
              <c:strCache>
                <c:ptCount val="1"/>
                <c:pt idx="0">
                  <c:v>IRL</c:v>
                </c:pt>
              </c:strCache>
            </c:strRef>
          </c:tx>
          <c:spPr>
            <a:ln w="6350">
              <a:solidFill>
                <a:sysClr val="windowText" lastClr="000000"/>
              </a:solidFill>
            </a:ln>
          </c:spPr>
          <c:invertIfNegative val="0"/>
          <c:dPt>
            <c:idx val="0"/>
            <c:invertIfNegative val="0"/>
            <c:bubble3D val="0"/>
            <c:spPr>
              <a:solidFill>
                <a:srgbClr val="006BB6"/>
              </a:solidFill>
              <a:ln w="6350">
                <a:solidFill>
                  <a:sysClr val="windowText" lastClr="000000"/>
                </a:solidFill>
              </a:ln>
            </c:spPr>
            <c:extLst>
              <c:ext xmlns:c16="http://schemas.microsoft.com/office/drawing/2014/chart" uri="{C3380CC4-5D6E-409C-BE32-E72D297353CC}">
                <c16:uniqueId val="{00000035-55EE-4E8D-8E82-166DECEADC54}"/>
              </c:ext>
            </c:extLst>
          </c:dPt>
          <c:dPt>
            <c:idx val="1"/>
            <c:invertIfNegative val="0"/>
            <c:bubble3D val="0"/>
            <c:spPr>
              <a:solidFill>
                <a:srgbClr val="7FA8D9"/>
              </a:solidFill>
              <a:ln w="6350">
                <a:solidFill>
                  <a:sysClr val="windowText" lastClr="000000"/>
                </a:solidFill>
              </a:ln>
            </c:spPr>
            <c:extLst>
              <c:ext xmlns:c16="http://schemas.microsoft.com/office/drawing/2014/chart" uri="{C3380CC4-5D6E-409C-BE32-E72D297353CC}">
                <c16:uniqueId val="{00000037-55EE-4E8D-8E82-166DECEADC54}"/>
              </c:ext>
            </c:extLst>
          </c:dPt>
          <c:dPt>
            <c:idx val="2"/>
            <c:invertIfNegative val="0"/>
            <c:bubble3D val="0"/>
            <c:spPr>
              <a:solidFill>
                <a:srgbClr val="7FA8D9"/>
              </a:solidFill>
              <a:ln w="6350">
                <a:solidFill>
                  <a:sysClr val="windowText" lastClr="000000"/>
                </a:solidFill>
              </a:ln>
            </c:spPr>
            <c:extLst>
              <c:ext xmlns:c16="http://schemas.microsoft.com/office/drawing/2014/chart" uri="{C3380CC4-5D6E-409C-BE32-E72D297353CC}">
                <c16:uniqueId val="{00000039-55EE-4E8D-8E82-166DECEADC54}"/>
              </c:ext>
            </c:extLst>
          </c:dPt>
          <c:dLbls>
            <c:dLbl>
              <c:idx val="0"/>
              <c:tx>
                <c:rich>
                  <a:bodyPr wrap="square" lIns="38100" tIns="19050" rIns="38100" bIns="19050" anchor="ctr">
                    <a:spAutoFit/>
                  </a:bodyPr>
                  <a:lstStyle/>
                  <a:p>
                    <a:pPr>
                      <a:defRPr sz="700" b="0" i="0">
                        <a:solidFill>
                          <a:srgbClr val="000000"/>
                        </a:solidFill>
                        <a:latin typeface="Arial Narrow" panose="020B0606020202030204" pitchFamily="34" charset="0"/>
                      </a:defRPr>
                    </a:pPr>
                    <a:r>
                      <a:rPr lang="en-US" sz="700" b="0" i="0">
                        <a:solidFill>
                          <a:srgbClr val="000000"/>
                        </a:solidFill>
                        <a:latin typeface="Arial Narrow" panose="020B0606020202030204" pitchFamily="34" charset="0"/>
                      </a:rPr>
                      <a:t>IRL</a:t>
                    </a: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35-55EE-4E8D-8E82-166DECEADC54}"/>
                </c:ext>
              </c:extLst>
            </c:dLbl>
            <c:dLbl>
              <c:idx val="1"/>
              <c:tx>
                <c:rich>
                  <a:bodyPr wrap="square" lIns="38100" tIns="19050" rIns="38100" bIns="19050" anchor="ctr">
                    <a:spAutoFit/>
                  </a:bodyPr>
                  <a:lstStyle/>
                  <a:p>
                    <a:pPr>
                      <a:defRPr sz="700" b="0" i="0">
                        <a:solidFill>
                          <a:srgbClr val="000000"/>
                        </a:solidFill>
                        <a:latin typeface="Arial Narrow" panose="020B0606020202030204" pitchFamily="34" charset="0"/>
                      </a:defRPr>
                    </a:pPr>
                    <a:r>
                      <a:rPr lang="en-US" sz="700" b="0" i="0">
                        <a:solidFill>
                          <a:srgbClr val="000000"/>
                        </a:solidFill>
                        <a:latin typeface="Arial Narrow" panose="020B0606020202030204" pitchFamily="34" charset="0"/>
                      </a:rPr>
                      <a:t>IRL</a:t>
                    </a: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37-55EE-4E8D-8E82-166DECEADC54}"/>
                </c:ext>
              </c:extLst>
            </c:dLbl>
            <c:dLbl>
              <c:idx val="2"/>
              <c:tx>
                <c:rich>
                  <a:bodyPr wrap="square" lIns="38100" tIns="19050" rIns="38100" bIns="19050" anchor="ctr">
                    <a:spAutoFit/>
                  </a:bodyPr>
                  <a:lstStyle/>
                  <a:p>
                    <a:pPr>
                      <a:defRPr sz="700" b="0" i="0">
                        <a:solidFill>
                          <a:srgbClr val="000000"/>
                        </a:solidFill>
                        <a:latin typeface="Arial Narrow" panose="020B0606020202030204" pitchFamily="34" charset="0"/>
                      </a:defRPr>
                    </a:pPr>
                    <a:r>
                      <a:rPr lang="en-US" sz="700" b="0" i="0">
                        <a:solidFill>
                          <a:srgbClr val="000000"/>
                        </a:solidFill>
                        <a:latin typeface="Arial Narrow" panose="020B0606020202030204" pitchFamily="34" charset="0"/>
                      </a:rPr>
                      <a:t>IRL</a:t>
                    </a: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39-55EE-4E8D-8E82-166DECEADC54}"/>
                </c:ext>
              </c:extLst>
            </c:dLbl>
            <c:spPr>
              <a:noFill/>
              <a:ln>
                <a:noFill/>
              </a:ln>
              <a:effectLst/>
            </c:spPr>
            <c:showLegendKey val="0"/>
            <c:showVal val="0"/>
            <c:showCatName val="0"/>
            <c:showSerName val="1"/>
            <c:showPercent val="0"/>
            <c:showBubbleSize val="0"/>
            <c:showLeaderLines val="0"/>
            <c:extLst>
              <c:ext xmlns:c15="http://schemas.microsoft.com/office/drawing/2012/chart" uri="{CE6537A1-D6FC-4f65-9D91-7224C49458BB}">
                <c15:showLeaderLines val="1"/>
              </c:ext>
            </c:extLst>
          </c:dLbls>
          <c:cat>
            <c:strRef>
              <c:f>'[3er5qt.xlsx]g2-1'!$D$27:$F$27</c:f>
              <c:strCache>
                <c:ptCount val="3"/>
                <c:pt idx="0">
                  <c:v>Care plans involve the service user or their representative </c:v>
                </c:pt>
                <c:pt idx="1">
                  <c:v>Care plans involve a family user or carer </c:v>
                </c:pt>
                <c:pt idx="2">
                  <c:v>Care plans include discussion of employment, educational, or other opportunities</c:v>
                </c:pt>
              </c:strCache>
            </c:strRef>
          </c:cat>
          <c:val>
            <c:numRef>
              <c:f>'[3er5qt.xlsx]g2-1'!$D$39:$F$39</c:f>
              <c:numCache>
                <c:formatCode>General</c:formatCode>
                <c:ptCount val="3"/>
                <c:pt idx="0">
                  <c:v>1</c:v>
                </c:pt>
                <c:pt idx="1">
                  <c:v>1</c:v>
                </c:pt>
                <c:pt idx="2">
                  <c:v>1</c:v>
                </c:pt>
              </c:numCache>
            </c:numRef>
          </c:val>
          <c:extLst>
            <c:ext xmlns:c16="http://schemas.microsoft.com/office/drawing/2014/chart" uri="{C3380CC4-5D6E-409C-BE32-E72D297353CC}">
              <c16:uniqueId val="{0000003A-55EE-4E8D-8E82-166DECEADC54}"/>
            </c:ext>
          </c:extLst>
        </c:ser>
        <c:ser>
          <c:idx val="12"/>
          <c:order val="12"/>
          <c:tx>
            <c:strRef>
              <c:f>'[3er5qt.xlsx]g2-1'!$C$40</c:f>
              <c:strCache>
                <c:ptCount val="1"/>
                <c:pt idx="0">
                  <c:v>ISL</c:v>
                </c:pt>
              </c:strCache>
            </c:strRef>
          </c:tx>
          <c:spPr>
            <a:solidFill>
              <a:srgbClr val="006BB6"/>
            </a:solidFill>
            <a:ln w="6350">
              <a:solidFill>
                <a:sysClr val="windowText" lastClr="000000"/>
              </a:solidFill>
            </a:ln>
          </c:spPr>
          <c:invertIfNegative val="0"/>
          <c:dLbls>
            <c:dLbl>
              <c:idx val="0"/>
              <c:tx>
                <c:rich>
                  <a:bodyPr wrap="square" lIns="38100" tIns="19050" rIns="38100" bIns="19050" anchor="ctr">
                    <a:spAutoFit/>
                  </a:bodyPr>
                  <a:lstStyle/>
                  <a:p>
                    <a:pPr>
                      <a:defRPr sz="700" b="0" i="0">
                        <a:solidFill>
                          <a:srgbClr val="000000"/>
                        </a:solidFill>
                        <a:latin typeface="Arial Narrow" panose="020B0606020202030204" pitchFamily="34" charset="0"/>
                      </a:defRPr>
                    </a:pPr>
                    <a:r>
                      <a:rPr lang="en-US" sz="700" b="0" i="0">
                        <a:solidFill>
                          <a:srgbClr val="000000"/>
                        </a:solidFill>
                        <a:latin typeface="Arial Narrow" panose="020B0606020202030204" pitchFamily="34" charset="0"/>
                      </a:rPr>
                      <a:t>ISL</a:t>
                    </a: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3B-55EE-4E8D-8E82-166DECEADC54}"/>
                </c:ext>
              </c:extLst>
            </c:dLbl>
            <c:dLbl>
              <c:idx val="1"/>
              <c:tx>
                <c:rich>
                  <a:bodyPr wrap="square" lIns="38100" tIns="19050" rIns="38100" bIns="19050" anchor="ctr">
                    <a:spAutoFit/>
                  </a:bodyPr>
                  <a:lstStyle/>
                  <a:p>
                    <a:pPr>
                      <a:defRPr sz="700" b="0" i="0">
                        <a:solidFill>
                          <a:srgbClr val="000000"/>
                        </a:solidFill>
                        <a:latin typeface="Arial Narrow" panose="020B0606020202030204" pitchFamily="34" charset="0"/>
                      </a:defRPr>
                    </a:pPr>
                    <a:r>
                      <a:rPr lang="en-US" sz="700" b="0" i="0">
                        <a:solidFill>
                          <a:srgbClr val="000000"/>
                        </a:solidFill>
                        <a:latin typeface="Arial Narrow" panose="020B0606020202030204" pitchFamily="34" charset="0"/>
                      </a:rPr>
                      <a:t>ISL</a:t>
                    </a: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3C-55EE-4E8D-8E82-166DECEADC54}"/>
                </c:ext>
              </c:extLst>
            </c:dLbl>
            <c:dLbl>
              <c:idx val="2"/>
              <c:tx>
                <c:rich>
                  <a:bodyPr wrap="square" lIns="38100" tIns="19050" rIns="38100" bIns="19050" anchor="ctr">
                    <a:spAutoFit/>
                  </a:bodyPr>
                  <a:lstStyle/>
                  <a:p>
                    <a:pPr>
                      <a:defRPr sz="700" b="0" i="0">
                        <a:solidFill>
                          <a:srgbClr val="000000"/>
                        </a:solidFill>
                        <a:latin typeface="Arial Narrow" panose="020B0606020202030204" pitchFamily="34" charset="0"/>
                      </a:defRPr>
                    </a:pPr>
                    <a:r>
                      <a:rPr lang="en-US" sz="700" b="0" i="0">
                        <a:solidFill>
                          <a:srgbClr val="000000"/>
                        </a:solidFill>
                        <a:latin typeface="Arial Narrow" panose="020B0606020202030204" pitchFamily="34" charset="0"/>
                      </a:rPr>
                      <a:t>ISL</a:t>
                    </a: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3D-55EE-4E8D-8E82-166DECEADC54}"/>
                </c:ext>
              </c:extLst>
            </c:dLbl>
            <c:spPr>
              <a:noFill/>
              <a:ln>
                <a:noFill/>
              </a:ln>
              <a:effectLst/>
            </c:spPr>
            <c:showLegendKey val="0"/>
            <c:showVal val="0"/>
            <c:showCatName val="0"/>
            <c:showSerName val="1"/>
            <c:showPercent val="0"/>
            <c:showBubbleSize val="0"/>
            <c:showLeaderLines val="0"/>
            <c:extLst>
              <c:ext xmlns:c15="http://schemas.microsoft.com/office/drawing/2012/chart" uri="{CE6537A1-D6FC-4f65-9D91-7224C49458BB}">
                <c15:showLeaderLines val="1"/>
              </c:ext>
            </c:extLst>
          </c:dLbls>
          <c:cat>
            <c:strRef>
              <c:f>'[3er5qt.xlsx]g2-1'!$D$27:$F$27</c:f>
              <c:strCache>
                <c:ptCount val="3"/>
                <c:pt idx="0">
                  <c:v>Care plans involve the service user or their representative </c:v>
                </c:pt>
                <c:pt idx="1">
                  <c:v>Care plans involve a family user or carer </c:v>
                </c:pt>
                <c:pt idx="2">
                  <c:v>Care plans include discussion of employment, educational, or other opportunities</c:v>
                </c:pt>
              </c:strCache>
            </c:strRef>
          </c:cat>
          <c:val>
            <c:numRef>
              <c:f>'[3er5qt.xlsx]g2-1'!$D$40:$F$40</c:f>
              <c:numCache>
                <c:formatCode>General</c:formatCode>
                <c:ptCount val="3"/>
                <c:pt idx="0">
                  <c:v>1</c:v>
                </c:pt>
                <c:pt idx="1">
                  <c:v>1</c:v>
                </c:pt>
                <c:pt idx="2">
                  <c:v>1</c:v>
                </c:pt>
              </c:numCache>
            </c:numRef>
          </c:val>
          <c:extLst>
            <c:ext xmlns:c16="http://schemas.microsoft.com/office/drawing/2014/chart" uri="{C3380CC4-5D6E-409C-BE32-E72D297353CC}">
              <c16:uniqueId val="{0000003E-55EE-4E8D-8E82-166DECEADC54}"/>
            </c:ext>
          </c:extLst>
        </c:ser>
        <c:ser>
          <c:idx val="13"/>
          <c:order val="13"/>
          <c:tx>
            <c:strRef>
              <c:f>'[3er5qt.xlsx]g2-1'!$C$41</c:f>
              <c:strCache>
                <c:ptCount val="1"/>
                <c:pt idx="0">
                  <c:v>ISR</c:v>
                </c:pt>
              </c:strCache>
            </c:strRef>
          </c:tx>
          <c:spPr>
            <a:solidFill>
              <a:srgbClr val="006BB6"/>
            </a:solidFill>
            <a:ln w="6350">
              <a:solidFill>
                <a:sysClr val="windowText" lastClr="000000"/>
              </a:solidFill>
            </a:ln>
          </c:spPr>
          <c:invertIfNegative val="0"/>
          <c:dLbls>
            <c:dLbl>
              <c:idx val="0"/>
              <c:tx>
                <c:rich>
                  <a:bodyPr wrap="square" lIns="38100" tIns="19050" rIns="38100" bIns="19050" anchor="ctr">
                    <a:spAutoFit/>
                  </a:bodyPr>
                  <a:lstStyle/>
                  <a:p>
                    <a:pPr>
                      <a:defRPr sz="700" b="0" i="0">
                        <a:solidFill>
                          <a:srgbClr val="000000"/>
                        </a:solidFill>
                        <a:latin typeface="Arial Narrow" panose="020B0606020202030204" pitchFamily="34" charset="0"/>
                      </a:defRPr>
                    </a:pPr>
                    <a:r>
                      <a:rPr lang="en-US" sz="700" b="0" i="0">
                        <a:solidFill>
                          <a:srgbClr val="000000"/>
                        </a:solidFill>
                        <a:latin typeface="Arial Narrow" panose="020B0606020202030204" pitchFamily="34" charset="0"/>
                      </a:rPr>
                      <a:t>ISR</a:t>
                    </a: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3F-55EE-4E8D-8E82-166DECEADC54}"/>
                </c:ext>
              </c:extLst>
            </c:dLbl>
            <c:dLbl>
              <c:idx val="1"/>
              <c:tx>
                <c:rich>
                  <a:bodyPr wrap="square" lIns="38100" tIns="19050" rIns="38100" bIns="19050" anchor="ctr">
                    <a:spAutoFit/>
                  </a:bodyPr>
                  <a:lstStyle/>
                  <a:p>
                    <a:pPr>
                      <a:defRPr sz="700" b="0" i="0">
                        <a:solidFill>
                          <a:srgbClr val="000000"/>
                        </a:solidFill>
                        <a:latin typeface="Arial Narrow" panose="020B0606020202030204" pitchFamily="34" charset="0"/>
                      </a:defRPr>
                    </a:pPr>
                    <a:r>
                      <a:rPr lang="en-US" sz="700" b="0" i="0">
                        <a:solidFill>
                          <a:srgbClr val="000000"/>
                        </a:solidFill>
                        <a:latin typeface="Arial Narrow" panose="020B0606020202030204" pitchFamily="34" charset="0"/>
                      </a:rPr>
                      <a:t>ISR</a:t>
                    </a: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40-55EE-4E8D-8E82-166DECEADC54}"/>
                </c:ext>
              </c:extLst>
            </c:dLbl>
            <c:dLbl>
              <c:idx val="2"/>
              <c:tx>
                <c:rich>
                  <a:bodyPr wrap="square" lIns="38100" tIns="19050" rIns="38100" bIns="19050" anchor="ctr">
                    <a:spAutoFit/>
                  </a:bodyPr>
                  <a:lstStyle/>
                  <a:p>
                    <a:pPr>
                      <a:defRPr sz="700" b="0" i="0">
                        <a:solidFill>
                          <a:srgbClr val="000000"/>
                        </a:solidFill>
                        <a:latin typeface="Arial Narrow" panose="020B0606020202030204" pitchFamily="34" charset="0"/>
                      </a:defRPr>
                    </a:pPr>
                    <a:r>
                      <a:rPr lang="en-US" sz="700" b="0" i="0">
                        <a:solidFill>
                          <a:srgbClr val="000000"/>
                        </a:solidFill>
                        <a:latin typeface="Arial Narrow" panose="020B0606020202030204" pitchFamily="34" charset="0"/>
                      </a:rPr>
                      <a:t>ISR</a:t>
                    </a: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41-55EE-4E8D-8E82-166DECEADC54}"/>
                </c:ext>
              </c:extLst>
            </c:dLbl>
            <c:spPr>
              <a:noFill/>
              <a:ln>
                <a:noFill/>
              </a:ln>
              <a:effectLst/>
            </c:spPr>
            <c:showLegendKey val="0"/>
            <c:showVal val="0"/>
            <c:showCatName val="0"/>
            <c:showSerName val="1"/>
            <c:showPercent val="0"/>
            <c:showBubbleSize val="0"/>
            <c:showLeaderLines val="0"/>
            <c:extLst>
              <c:ext xmlns:c15="http://schemas.microsoft.com/office/drawing/2012/chart" uri="{CE6537A1-D6FC-4f65-9D91-7224C49458BB}">
                <c15:showLeaderLines val="1"/>
              </c:ext>
            </c:extLst>
          </c:dLbls>
          <c:cat>
            <c:strRef>
              <c:f>'[3er5qt.xlsx]g2-1'!$D$27:$F$27</c:f>
              <c:strCache>
                <c:ptCount val="3"/>
                <c:pt idx="0">
                  <c:v>Care plans involve the service user or their representative </c:v>
                </c:pt>
                <c:pt idx="1">
                  <c:v>Care plans involve a family user or carer </c:v>
                </c:pt>
                <c:pt idx="2">
                  <c:v>Care plans include discussion of employment, educational, or other opportunities</c:v>
                </c:pt>
              </c:strCache>
            </c:strRef>
          </c:cat>
          <c:val>
            <c:numRef>
              <c:f>'[3er5qt.xlsx]g2-1'!$D$41:$F$41</c:f>
              <c:numCache>
                <c:formatCode>General</c:formatCode>
                <c:ptCount val="3"/>
                <c:pt idx="0">
                  <c:v>1</c:v>
                </c:pt>
                <c:pt idx="1">
                  <c:v>1</c:v>
                </c:pt>
                <c:pt idx="2">
                  <c:v>1</c:v>
                </c:pt>
              </c:numCache>
            </c:numRef>
          </c:val>
          <c:extLst>
            <c:ext xmlns:c16="http://schemas.microsoft.com/office/drawing/2014/chart" uri="{C3380CC4-5D6E-409C-BE32-E72D297353CC}">
              <c16:uniqueId val="{00000042-55EE-4E8D-8E82-166DECEADC54}"/>
            </c:ext>
          </c:extLst>
        </c:ser>
        <c:ser>
          <c:idx val="14"/>
          <c:order val="14"/>
          <c:tx>
            <c:strRef>
              <c:f>'[3er5qt.xlsx]g2-1'!$C$42</c:f>
              <c:strCache>
                <c:ptCount val="1"/>
                <c:pt idx="0">
                  <c:v>ITA</c:v>
                </c:pt>
              </c:strCache>
            </c:strRef>
          </c:tx>
          <c:spPr>
            <a:solidFill>
              <a:srgbClr val="006BB6"/>
            </a:solidFill>
            <a:ln w="6350">
              <a:solidFill>
                <a:sysClr val="windowText" lastClr="000000"/>
              </a:solidFill>
            </a:ln>
          </c:spPr>
          <c:invertIfNegative val="0"/>
          <c:dLbls>
            <c:dLbl>
              <c:idx val="0"/>
              <c:tx>
                <c:rich>
                  <a:bodyPr wrap="square" lIns="38100" tIns="19050" rIns="38100" bIns="19050" anchor="ctr">
                    <a:spAutoFit/>
                  </a:bodyPr>
                  <a:lstStyle/>
                  <a:p>
                    <a:pPr>
                      <a:defRPr sz="700" b="0" i="0">
                        <a:solidFill>
                          <a:srgbClr val="000000"/>
                        </a:solidFill>
                        <a:latin typeface="Arial Narrow" panose="020B0606020202030204" pitchFamily="34" charset="0"/>
                      </a:defRPr>
                    </a:pPr>
                    <a:endParaRPr lang="en-GB" sz="700" b="0" i="0">
                      <a:solidFill>
                        <a:srgbClr val="000000"/>
                      </a:solidFill>
                      <a:latin typeface="Arial Narrow" panose="020B0606020202030204" pitchFamily="34" charset="0"/>
                    </a:endParaRP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43-55EE-4E8D-8E82-166DECEADC54}"/>
                </c:ext>
              </c:extLst>
            </c:dLbl>
            <c:dLbl>
              <c:idx val="1"/>
              <c:tx>
                <c:rich>
                  <a:bodyPr wrap="square" lIns="38100" tIns="19050" rIns="38100" bIns="19050" anchor="ctr">
                    <a:spAutoFit/>
                  </a:bodyPr>
                  <a:lstStyle/>
                  <a:p>
                    <a:pPr>
                      <a:defRPr sz="700" b="0" i="0">
                        <a:solidFill>
                          <a:srgbClr val="000000"/>
                        </a:solidFill>
                        <a:latin typeface="Arial Narrow" panose="020B0606020202030204" pitchFamily="34" charset="0"/>
                      </a:defRPr>
                    </a:pPr>
                    <a:r>
                      <a:rPr lang="en-US" sz="700" b="0" i="0">
                        <a:solidFill>
                          <a:srgbClr val="000000"/>
                        </a:solidFill>
                        <a:latin typeface="Arial Narrow" panose="020B0606020202030204" pitchFamily="34" charset="0"/>
                      </a:rPr>
                      <a:t>ITA</a:t>
                    </a: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44-55EE-4E8D-8E82-166DECEADC54}"/>
                </c:ext>
              </c:extLst>
            </c:dLbl>
            <c:dLbl>
              <c:idx val="2"/>
              <c:tx>
                <c:rich>
                  <a:bodyPr wrap="square" lIns="38100" tIns="19050" rIns="38100" bIns="19050" anchor="ctr">
                    <a:spAutoFit/>
                  </a:bodyPr>
                  <a:lstStyle/>
                  <a:p>
                    <a:pPr>
                      <a:defRPr sz="700" b="0" i="0">
                        <a:solidFill>
                          <a:srgbClr val="000000"/>
                        </a:solidFill>
                        <a:latin typeface="Arial Narrow" panose="020B0606020202030204" pitchFamily="34" charset="0"/>
                      </a:defRPr>
                    </a:pPr>
                    <a:r>
                      <a:rPr lang="en-US" sz="700" b="0" i="0">
                        <a:solidFill>
                          <a:srgbClr val="000000"/>
                        </a:solidFill>
                        <a:latin typeface="Arial Narrow" panose="020B0606020202030204" pitchFamily="34" charset="0"/>
                      </a:rPr>
                      <a:t>ITA</a:t>
                    </a: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45-55EE-4E8D-8E82-166DECEADC54}"/>
                </c:ext>
              </c:extLst>
            </c:dLbl>
            <c:spPr>
              <a:noFill/>
              <a:ln>
                <a:noFill/>
              </a:ln>
              <a:effectLst/>
            </c:spPr>
            <c:showLegendKey val="0"/>
            <c:showVal val="0"/>
            <c:showCatName val="0"/>
            <c:showSerName val="1"/>
            <c:showPercent val="0"/>
            <c:showBubbleSize val="0"/>
            <c:showLeaderLines val="0"/>
            <c:extLst>
              <c:ext xmlns:c15="http://schemas.microsoft.com/office/drawing/2012/chart" uri="{CE6537A1-D6FC-4f65-9D91-7224C49458BB}">
                <c15:showLeaderLines val="1"/>
              </c:ext>
            </c:extLst>
          </c:dLbls>
          <c:cat>
            <c:strRef>
              <c:f>'[3er5qt.xlsx]g2-1'!$D$27:$F$27</c:f>
              <c:strCache>
                <c:ptCount val="3"/>
                <c:pt idx="0">
                  <c:v>Care plans involve the service user or their representative </c:v>
                </c:pt>
                <c:pt idx="1">
                  <c:v>Care plans involve a family user or carer </c:v>
                </c:pt>
                <c:pt idx="2">
                  <c:v>Care plans include discussion of employment, educational, or other opportunities</c:v>
                </c:pt>
              </c:strCache>
            </c:strRef>
          </c:cat>
          <c:val>
            <c:numRef>
              <c:f>'[3er5qt.xlsx]g2-1'!$D$42:$F$42</c:f>
              <c:numCache>
                <c:formatCode>General</c:formatCode>
                <c:ptCount val="3"/>
                <c:pt idx="1">
                  <c:v>1</c:v>
                </c:pt>
                <c:pt idx="2">
                  <c:v>1</c:v>
                </c:pt>
              </c:numCache>
            </c:numRef>
          </c:val>
          <c:extLst>
            <c:ext xmlns:c16="http://schemas.microsoft.com/office/drawing/2014/chart" uri="{C3380CC4-5D6E-409C-BE32-E72D297353CC}">
              <c16:uniqueId val="{00000046-55EE-4E8D-8E82-166DECEADC54}"/>
            </c:ext>
          </c:extLst>
        </c:ser>
        <c:ser>
          <c:idx val="15"/>
          <c:order val="15"/>
          <c:tx>
            <c:strRef>
              <c:f>'[3er5qt.xlsx]g2-1'!$C$43</c:f>
              <c:strCache>
                <c:ptCount val="1"/>
                <c:pt idx="0">
                  <c:v>JPN</c:v>
                </c:pt>
              </c:strCache>
            </c:strRef>
          </c:tx>
          <c:spPr>
            <a:solidFill>
              <a:srgbClr val="006BB6"/>
            </a:solidFill>
            <a:ln w="6350">
              <a:solidFill>
                <a:sysClr val="windowText" lastClr="000000"/>
              </a:solidFill>
            </a:ln>
          </c:spPr>
          <c:invertIfNegative val="0"/>
          <c:dLbls>
            <c:dLbl>
              <c:idx val="0"/>
              <c:tx>
                <c:rich>
                  <a:bodyPr wrap="square" lIns="38100" tIns="19050" rIns="38100" bIns="19050" anchor="ctr">
                    <a:spAutoFit/>
                  </a:bodyPr>
                  <a:lstStyle/>
                  <a:p>
                    <a:pPr>
                      <a:defRPr sz="700" b="0" i="0">
                        <a:solidFill>
                          <a:srgbClr val="000000"/>
                        </a:solidFill>
                        <a:latin typeface="Arial Narrow" panose="020B0606020202030204" pitchFamily="34" charset="0"/>
                      </a:defRPr>
                    </a:pPr>
                    <a:r>
                      <a:rPr lang="en-US" sz="700" b="0" i="0">
                        <a:solidFill>
                          <a:srgbClr val="000000"/>
                        </a:solidFill>
                        <a:latin typeface="Arial Narrow" panose="020B0606020202030204" pitchFamily="34" charset="0"/>
                      </a:rPr>
                      <a:t>JPN</a:t>
                    </a: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47-55EE-4E8D-8E82-166DECEADC54}"/>
                </c:ext>
              </c:extLst>
            </c:dLbl>
            <c:dLbl>
              <c:idx val="1"/>
              <c:tx>
                <c:rich>
                  <a:bodyPr wrap="square" lIns="38100" tIns="19050" rIns="38100" bIns="19050" anchor="ctr">
                    <a:spAutoFit/>
                  </a:bodyPr>
                  <a:lstStyle/>
                  <a:p>
                    <a:pPr>
                      <a:defRPr sz="700" b="0" i="0">
                        <a:solidFill>
                          <a:srgbClr val="000000"/>
                        </a:solidFill>
                        <a:latin typeface="Arial Narrow" panose="020B0606020202030204" pitchFamily="34" charset="0"/>
                      </a:defRPr>
                    </a:pPr>
                    <a:r>
                      <a:rPr lang="en-US" sz="700" b="0" i="0">
                        <a:solidFill>
                          <a:srgbClr val="000000"/>
                        </a:solidFill>
                        <a:latin typeface="Arial Narrow" panose="020B0606020202030204" pitchFamily="34" charset="0"/>
                      </a:rPr>
                      <a:t>JPN</a:t>
                    </a: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48-55EE-4E8D-8E82-166DECEADC54}"/>
                </c:ext>
              </c:extLst>
            </c:dLbl>
            <c:dLbl>
              <c:idx val="2"/>
              <c:tx>
                <c:rich>
                  <a:bodyPr wrap="square" lIns="38100" tIns="19050" rIns="38100" bIns="19050" anchor="ctr">
                    <a:spAutoFit/>
                  </a:bodyPr>
                  <a:lstStyle/>
                  <a:p>
                    <a:pPr>
                      <a:defRPr sz="700" b="0" i="0">
                        <a:solidFill>
                          <a:srgbClr val="000000"/>
                        </a:solidFill>
                        <a:latin typeface="Arial Narrow" panose="020B0606020202030204" pitchFamily="34" charset="0"/>
                      </a:defRPr>
                    </a:pPr>
                    <a:endParaRPr lang="en-GB" sz="700" b="0" i="0">
                      <a:solidFill>
                        <a:srgbClr val="000000"/>
                      </a:solidFill>
                      <a:latin typeface="Arial Narrow" panose="020B0606020202030204" pitchFamily="34" charset="0"/>
                    </a:endParaRP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49-55EE-4E8D-8E82-166DECEADC54}"/>
                </c:ext>
              </c:extLst>
            </c:dLbl>
            <c:spPr>
              <a:noFill/>
              <a:ln>
                <a:noFill/>
              </a:ln>
              <a:effectLst/>
            </c:spPr>
            <c:showLegendKey val="0"/>
            <c:showVal val="0"/>
            <c:showCatName val="0"/>
            <c:showSerName val="1"/>
            <c:showPercent val="0"/>
            <c:showBubbleSize val="0"/>
            <c:showLeaderLines val="0"/>
            <c:extLst>
              <c:ext xmlns:c15="http://schemas.microsoft.com/office/drawing/2012/chart" uri="{CE6537A1-D6FC-4f65-9D91-7224C49458BB}">
                <c15:showLeaderLines val="1"/>
              </c:ext>
            </c:extLst>
          </c:dLbls>
          <c:cat>
            <c:strRef>
              <c:f>'[3er5qt.xlsx]g2-1'!$D$27:$F$27</c:f>
              <c:strCache>
                <c:ptCount val="3"/>
                <c:pt idx="0">
                  <c:v>Care plans involve the service user or their representative </c:v>
                </c:pt>
                <c:pt idx="1">
                  <c:v>Care plans involve a family user or carer </c:v>
                </c:pt>
                <c:pt idx="2">
                  <c:v>Care plans include discussion of employment, educational, or other opportunities</c:v>
                </c:pt>
              </c:strCache>
            </c:strRef>
          </c:cat>
          <c:val>
            <c:numRef>
              <c:f>'[3er5qt.xlsx]g2-1'!$D$43:$F$43</c:f>
              <c:numCache>
                <c:formatCode>General</c:formatCode>
                <c:ptCount val="3"/>
                <c:pt idx="0">
                  <c:v>1</c:v>
                </c:pt>
                <c:pt idx="1">
                  <c:v>1</c:v>
                </c:pt>
              </c:numCache>
            </c:numRef>
          </c:val>
          <c:extLst>
            <c:ext xmlns:c16="http://schemas.microsoft.com/office/drawing/2014/chart" uri="{C3380CC4-5D6E-409C-BE32-E72D297353CC}">
              <c16:uniqueId val="{0000004A-55EE-4E8D-8E82-166DECEADC54}"/>
            </c:ext>
          </c:extLst>
        </c:ser>
        <c:ser>
          <c:idx val="16"/>
          <c:order val="16"/>
          <c:tx>
            <c:strRef>
              <c:f>'[3er5qt.xlsx]g2-1'!$C$44</c:f>
              <c:strCache>
                <c:ptCount val="1"/>
                <c:pt idx="0">
                  <c:v>KOR</c:v>
                </c:pt>
              </c:strCache>
            </c:strRef>
          </c:tx>
          <c:spPr>
            <a:solidFill>
              <a:srgbClr val="5081BD"/>
            </a:solidFill>
            <a:ln w="6350">
              <a:solidFill>
                <a:sysClr val="windowText" lastClr="000000"/>
              </a:solidFill>
            </a:ln>
          </c:spPr>
          <c:invertIfNegative val="0"/>
          <c:dPt>
            <c:idx val="0"/>
            <c:invertIfNegative val="0"/>
            <c:bubble3D val="0"/>
            <c:spPr>
              <a:solidFill>
                <a:srgbClr val="83D2E3"/>
              </a:solidFill>
              <a:ln w="6350">
                <a:solidFill>
                  <a:sysClr val="windowText" lastClr="000000"/>
                </a:solidFill>
              </a:ln>
            </c:spPr>
            <c:extLst>
              <c:ext xmlns:c16="http://schemas.microsoft.com/office/drawing/2014/chart" uri="{C3380CC4-5D6E-409C-BE32-E72D297353CC}">
                <c16:uniqueId val="{0000004C-55EE-4E8D-8E82-166DECEADC54}"/>
              </c:ext>
            </c:extLst>
          </c:dPt>
          <c:dPt>
            <c:idx val="1"/>
            <c:invertIfNegative val="0"/>
            <c:bubble3D val="0"/>
            <c:spPr>
              <a:solidFill>
                <a:srgbClr val="006BB6"/>
              </a:solidFill>
              <a:ln w="6350">
                <a:solidFill>
                  <a:sysClr val="windowText" lastClr="000000"/>
                </a:solidFill>
              </a:ln>
            </c:spPr>
            <c:extLst>
              <c:ext xmlns:c16="http://schemas.microsoft.com/office/drawing/2014/chart" uri="{C3380CC4-5D6E-409C-BE32-E72D297353CC}">
                <c16:uniqueId val="{0000004E-55EE-4E8D-8E82-166DECEADC54}"/>
              </c:ext>
            </c:extLst>
          </c:dPt>
          <c:dPt>
            <c:idx val="2"/>
            <c:invertIfNegative val="0"/>
            <c:bubble3D val="0"/>
            <c:spPr>
              <a:solidFill>
                <a:srgbClr val="006BB6"/>
              </a:solidFill>
              <a:ln w="6350">
                <a:solidFill>
                  <a:sysClr val="windowText" lastClr="000000"/>
                </a:solidFill>
              </a:ln>
            </c:spPr>
            <c:extLst>
              <c:ext xmlns:c16="http://schemas.microsoft.com/office/drawing/2014/chart" uri="{C3380CC4-5D6E-409C-BE32-E72D297353CC}">
                <c16:uniqueId val="{00000050-55EE-4E8D-8E82-166DECEADC54}"/>
              </c:ext>
            </c:extLst>
          </c:dPt>
          <c:dLbls>
            <c:dLbl>
              <c:idx val="0"/>
              <c:tx>
                <c:rich>
                  <a:bodyPr wrap="square" lIns="38100" tIns="19050" rIns="38100" bIns="19050" anchor="ctr">
                    <a:spAutoFit/>
                  </a:bodyPr>
                  <a:lstStyle/>
                  <a:p>
                    <a:pPr>
                      <a:defRPr sz="700" b="0" i="0">
                        <a:solidFill>
                          <a:srgbClr val="000000"/>
                        </a:solidFill>
                        <a:latin typeface="Arial Narrow" panose="020B0606020202030204" pitchFamily="34" charset="0"/>
                      </a:defRPr>
                    </a:pPr>
                    <a:r>
                      <a:rPr lang="en-US" sz="700" b="0" i="0">
                        <a:solidFill>
                          <a:srgbClr val="000000"/>
                        </a:solidFill>
                        <a:latin typeface="Arial Narrow" panose="020B0606020202030204" pitchFamily="34" charset="0"/>
                      </a:rPr>
                      <a:t>KOR</a:t>
                    </a: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4C-55EE-4E8D-8E82-166DECEADC54}"/>
                </c:ext>
              </c:extLst>
            </c:dLbl>
            <c:dLbl>
              <c:idx val="1"/>
              <c:tx>
                <c:rich>
                  <a:bodyPr wrap="square" lIns="38100" tIns="19050" rIns="38100" bIns="19050" anchor="ctr">
                    <a:spAutoFit/>
                  </a:bodyPr>
                  <a:lstStyle/>
                  <a:p>
                    <a:pPr>
                      <a:defRPr sz="700" b="0" i="0">
                        <a:solidFill>
                          <a:srgbClr val="000000"/>
                        </a:solidFill>
                        <a:latin typeface="Arial Narrow" panose="020B0606020202030204" pitchFamily="34" charset="0"/>
                      </a:defRPr>
                    </a:pPr>
                    <a:r>
                      <a:rPr lang="en-US" sz="700" b="0" i="0">
                        <a:solidFill>
                          <a:srgbClr val="000000"/>
                        </a:solidFill>
                        <a:latin typeface="Arial Narrow" panose="020B0606020202030204" pitchFamily="34" charset="0"/>
                      </a:rPr>
                      <a:t>KOR</a:t>
                    </a: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4E-55EE-4E8D-8E82-166DECEADC54}"/>
                </c:ext>
              </c:extLst>
            </c:dLbl>
            <c:dLbl>
              <c:idx val="2"/>
              <c:tx>
                <c:rich>
                  <a:bodyPr wrap="square" lIns="38100" tIns="19050" rIns="38100" bIns="19050" anchor="ctr">
                    <a:spAutoFit/>
                  </a:bodyPr>
                  <a:lstStyle/>
                  <a:p>
                    <a:pPr>
                      <a:defRPr sz="700" b="0" i="0">
                        <a:solidFill>
                          <a:srgbClr val="000000"/>
                        </a:solidFill>
                        <a:latin typeface="Arial Narrow" panose="020B0606020202030204" pitchFamily="34" charset="0"/>
                      </a:defRPr>
                    </a:pPr>
                    <a:r>
                      <a:rPr lang="en-US" sz="700" b="0" i="0">
                        <a:solidFill>
                          <a:srgbClr val="000000"/>
                        </a:solidFill>
                        <a:latin typeface="Arial Narrow" panose="020B0606020202030204" pitchFamily="34" charset="0"/>
                      </a:rPr>
                      <a:t>KOR</a:t>
                    </a: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50-55EE-4E8D-8E82-166DECEADC54}"/>
                </c:ext>
              </c:extLst>
            </c:dLbl>
            <c:spPr>
              <a:noFill/>
              <a:ln>
                <a:noFill/>
              </a:ln>
              <a:effectLst/>
            </c:spPr>
            <c:showLegendKey val="0"/>
            <c:showVal val="0"/>
            <c:showCatName val="0"/>
            <c:showSerName val="1"/>
            <c:showPercent val="0"/>
            <c:showBubbleSize val="0"/>
            <c:showLeaderLines val="0"/>
            <c:extLst>
              <c:ext xmlns:c15="http://schemas.microsoft.com/office/drawing/2012/chart" uri="{CE6537A1-D6FC-4f65-9D91-7224C49458BB}">
                <c15:showLeaderLines val="1"/>
              </c:ext>
            </c:extLst>
          </c:dLbls>
          <c:cat>
            <c:strRef>
              <c:f>'[3er5qt.xlsx]g2-1'!$D$27:$F$27</c:f>
              <c:strCache>
                <c:ptCount val="3"/>
                <c:pt idx="0">
                  <c:v>Care plans involve the service user or their representative </c:v>
                </c:pt>
                <c:pt idx="1">
                  <c:v>Care plans involve a family user or carer </c:v>
                </c:pt>
                <c:pt idx="2">
                  <c:v>Care plans include discussion of employment, educational, or other opportunities</c:v>
                </c:pt>
              </c:strCache>
            </c:strRef>
          </c:cat>
          <c:val>
            <c:numRef>
              <c:f>'[3er5qt.xlsx]g2-1'!$D$44:$F$44</c:f>
              <c:numCache>
                <c:formatCode>General</c:formatCode>
                <c:ptCount val="3"/>
                <c:pt idx="0">
                  <c:v>1</c:v>
                </c:pt>
                <c:pt idx="1">
                  <c:v>1</c:v>
                </c:pt>
                <c:pt idx="2">
                  <c:v>1</c:v>
                </c:pt>
              </c:numCache>
            </c:numRef>
          </c:val>
          <c:extLst>
            <c:ext xmlns:c16="http://schemas.microsoft.com/office/drawing/2014/chart" uri="{C3380CC4-5D6E-409C-BE32-E72D297353CC}">
              <c16:uniqueId val="{00000051-55EE-4E8D-8E82-166DECEADC54}"/>
            </c:ext>
          </c:extLst>
        </c:ser>
        <c:ser>
          <c:idx val="17"/>
          <c:order val="17"/>
          <c:tx>
            <c:strRef>
              <c:f>'[3er5qt.xlsx]g2-1'!$C$45</c:f>
              <c:strCache>
                <c:ptCount val="1"/>
                <c:pt idx="0">
                  <c:v>LTU</c:v>
                </c:pt>
              </c:strCache>
            </c:strRef>
          </c:tx>
          <c:spPr>
            <a:solidFill>
              <a:srgbClr val="5B9BD5">
                <a:lumMod val="40000"/>
                <a:lumOff val="60000"/>
              </a:srgbClr>
            </a:solidFill>
            <a:ln w="6350">
              <a:solidFill>
                <a:sysClr val="windowText" lastClr="000000"/>
              </a:solidFill>
            </a:ln>
          </c:spPr>
          <c:invertIfNegative val="0"/>
          <c:dPt>
            <c:idx val="0"/>
            <c:invertIfNegative val="0"/>
            <c:bubble3D val="0"/>
            <c:spPr>
              <a:solidFill>
                <a:srgbClr val="7FA8D9"/>
              </a:solidFill>
              <a:ln w="6350">
                <a:solidFill>
                  <a:sysClr val="windowText" lastClr="000000"/>
                </a:solidFill>
              </a:ln>
            </c:spPr>
            <c:extLst>
              <c:ext xmlns:c16="http://schemas.microsoft.com/office/drawing/2014/chart" uri="{C3380CC4-5D6E-409C-BE32-E72D297353CC}">
                <c16:uniqueId val="{00000053-55EE-4E8D-8E82-166DECEADC54}"/>
              </c:ext>
            </c:extLst>
          </c:dPt>
          <c:dPt>
            <c:idx val="1"/>
            <c:invertIfNegative val="0"/>
            <c:bubble3D val="0"/>
            <c:spPr>
              <a:solidFill>
                <a:srgbClr val="7FA8D9"/>
              </a:solidFill>
              <a:ln w="6350">
                <a:solidFill>
                  <a:sysClr val="windowText" lastClr="000000"/>
                </a:solidFill>
              </a:ln>
            </c:spPr>
            <c:extLst>
              <c:ext xmlns:c16="http://schemas.microsoft.com/office/drawing/2014/chart" uri="{C3380CC4-5D6E-409C-BE32-E72D297353CC}">
                <c16:uniqueId val="{00000055-55EE-4E8D-8E82-166DECEADC54}"/>
              </c:ext>
            </c:extLst>
          </c:dPt>
          <c:dPt>
            <c:idx val="2"/>
            <c:invertIfNegative val="0"/>
            <c:bubble3D val="0"/>
            <c:spPr>
              <a:solidFill>
                <a:srgbClr val="83D2E3"/>
              </a:solidFill>
              <a:ln w="6350">
                <a:solidFill>
                  <a:sysClr val="windowText" lastClr="000000"/>
                </a:solidFill>
              </a:ln>
            </c:spPr>
            <c:extLst>
              <c:ext xmlns:c16="http://schemas.microsoft.com/office/drawing/2014/chart" uri="{C3380CC4-5D6E-409C-BE32-E72D297353CC}">
                <c16:uniqueId val="{00000057-55EE-4E8D-8E82-166DECEADC54}"/>
              </c:ext>
            </c:extLst>
          </c:dPt>
          <c:dLbls>
            <c:dLbl>
              <c:idx val="0"/>
              <c:tx>
                <c:rich>
                  <a:bodyPr wrap="square" lIns="38100" tIns="19050" rIns="38100" bIns="19050" anchor="ctr">
                    <a:spAutoFit/>
                  </a:bodyPr>
                  <a:lstStyle/>
                  <a:p>
                    <a:pPr>
                      <a:defRPr sz="700" b="0" i="0">
                        <a:solidFill>
                          <a:srgbClr val="000000"/>
                        </a:solidFill>
                        <a:latin typeface="Arial Narrow" panose="020B0606020202030204" pitchFamily="34" charset="0"/>
                      </a:defRPr>
                    </a:pPr>
                    <a:r>
                      <a:rPr lang="en-US" sz="700" b="0" i="0">
                        <a:solidFill>
                          <a:srgbClr val="000000"/>
                        </a:solidFill>
                        <a:latin typeface="Arial Narrow" panose="020B0606020202030204" pitchFamily="34" charset="0"/>
                      </a:rPr>
                      <a:t>LTU</a:t>
                    </a: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53-55EE-4E8D-8E82-166DECEADC54}"/>
                </c:ext>
              </c:extLst>
            </c:dLbl>
            <c:dLbl>
              <c:idx val="1"/>
              <c:tx>
                <c:rich>
                  <a:bodyPr wrap="square" lIns="38100" tIns="19050" rIns="38100" bIns="19050" anchor="ctr">
                    <a:spAutoFit/>
                  </a:bodyPr>
                  <a:lstStyle/>
                  <a:p>
                    <a:pPr>
                      <a:defRPr sz="700" b="0" i="0">
                        <a:solidFill>
                          <a:srgbClr val="000000"/>
                        </a:solidFill>
                        <a:latin typeface="Arial Narrow" panose="020B0606020202030204" pitchFamily="34" charset="0"/>
                      </a:defRPr>
                    </a:pPr>
                    <a:r>
                      <a:rPr lang="en-US" sz="700" b="0" i="0">
                        <a:solidFill>
                          <a:srgbClr val="000000"/>
                        </a:solidFill>
                        <a:latin typeface="Arial Narrow" panose="020B0606020202030204" pitchFamily="34" charset="0"/>
                      </a:rPr>
                      <a:t>LTU</a:t>
                    </a: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55-55EE-4E8D-8E82-166DECEADC54}"/>
                </c:ext>
              </c:extLst>
            </c:dLbl>
            <c:dLbl>
              <c:idx val="2"/>
              <c:tx>
                <c:rich>
                  <a:bodyPr wrap="square" lIns="38100" tIns="19050" rIns="38100" bIns="19050" anchor="ctr">
                    <a:spAutoFit/>
                  </a:bodyPr>
                  <a:lstStyle/>
                  <a:p>
                    <a:pPr>
                      <a:defRPr sz="700" b="0" i="0">
                        <a:solidFill>
                          <a:srgbClr val="000000"/>
                        </a:solidFill>
                        <a:latin typeface="Arial Narrow" panose="020B0606020202030204" pitchFamily="34" charset="0"/>
                      </a:defRPr>
                    </a:pPr>
                    <a:r>
                      <a:rPr lang="en-US" sz="700" b="0" i="0">
                        <a:solidFill>
                          <a:srgbClr val="000000"/>
                        </a:solidFill>
                        <a:latin typeface="Arial Narrow" panose="020B0606020202030204" pitchFamily="34" charset="0"/>
                      </a:rPr>
                      <a:t>LTU</a:t>
                    </a: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57-55EE-4E8D-8E82-166DECEADC54}"/>
                </c:ext>
              </c:extLst>
            </c:dLbl>
            <c:spPr>
              <a:noFill/>
              <a:ln>
                <a:noFill/>
              </a:ln>
              <a:effectLst/>
            </c:spPr>
            <c:showLegendKey val="0"/>
            <c:showVal val="0"/>
            <c:showCatName val="0"/>
            <c:showSerName val="1"/>
            <c:showPercent val="0"/>
            <c:showBubbleSize val="0"/>
            <c:showLeaderLines val="0"/>
            <c:extLst>
              <c:ext xmlns:c15="http://schemas.microsoft.com/office/drawing/2012/chart" uri="{CE6537A1-D6FC-4f65-9D91-7224C49458BB}">
                <c15:showLeaderLines val="1"/>
              </c:ext>
            </c:extLst>
          </c:dLbls>
          <c:cat>
            <c:strRef>
              <c:f>'[3er5qt.xlsx]g2-1'!$D$27:$F$27</c:f>
              <c:strCache>
                <c:ptCount val="3"/>
                <c:pt idx="0">
                  <c:v>Care plans involve the service user or their representative </c:v>
                </c:pt>
                <c:pt idx="1">
                  <c:v>Care plans involve a family user or carer </c:v>
                </c:pt>
                <c:pt idx="2">
                  <c:v>Care plans include discussion of employment, educational, or other opportunities</c:v>
                </c:pt>
              </c:strCache>
            </c:strRef>
          </c:cat>
          <c:val>
            <c:numRef>
              <c:f>'[3er5qt.xlsx]g2-1'!$D$45:$F$45</c:f>
              <c:numCache>
                <c:formatCode>General</c:formatCode>
                <c:ptCount val="3"/>
                <c:pt idx="0">
                  <c:v>1</c:v>
                </c:pt>
                <c:pt idx="1">
                  <c:v>1</c:v>
                </c:pt>
                <c:pt idx="2">
                  <c:v>1</c:v>
                </c:pt>
              </c:numCache>
            </c:numRef>
          </c:val>
          <c:extLst>
            <c:ext xmlns:c16="http://schemas.microsoft.com/office/drawing/2014/chart" uri="{C3380CC4-5D6E-409C-BE32-E72D297353CC}">
              <c16:uniqueId val="{00000058-55EE-4E8D-8E82-166DECEADC54}"/>
            </c:ext>
          </c:extLst>
        </c:ser>
        <c:ser>
          <c:idx val="18"/>
          <c:order val="18"/>
          <c:tx>
            <c:strRef>
              <c:f>'[3er5qt.xlsx]g2-1'!$C$46</c:f>
              <c:strCache>
                <c:ptCount val="1"/>
                <c:pt idx="0">
                  <c:v>LUX</c:v>
                </c:pt>
              </c:strCache>
            </c:strRef>
          </c:tx>
          <c:spPr>
            <a:solidFill>
              <a:srgbClr val="7FA8D9"/>
            </a:solidFill>
            <a:ln w="6350">
              <a:solidFill>
                <a:sysClr val="windowText" lastClr="000000"/>
              </a:solidFill>
            </a:ln>
          </c:spPr>
          <c:invertIfNegative val="0"/>
          <c:dPt>
            <c:idx val="2"/>
            <c:invertIfNegative val="0"/>
            <c:bubble3D val="0"/>
            <c:spPr>
              <a:solidFill>
                <a:srgbClr val="006BB6"/>
              </a:solidFill>
              <a:ln w="6350">
                <a:solidFill>
                  <a:sysClr val="windowText" lastClr="000000"/>
                </a:solidFill>
              </a:ln>
            </c:spPr>
            <c:extLst>
              <c:ext xmlns:c16="http://schemas.microsoft.com/office/drawing/2014/chart" uri="{C3380CC4-5D6E-409C-BE32-E72D297353CC}">
                <c16:uniqueId val="{0000005A-55EE-4E8D-8E82-166DECEADC54}"/>
              </c:ext>
            </c:extLst>
          </c:dPt>
          <c:dLbls>
            <c:dLbl>
              <c:idx val="0"/>
              <c:tx>
                <c:rich>
                  <a:bodyPr wrap="square" lIns="38100" tIns="19050" rIns="38100" bIns="19050" anchor="ctr">
                    <a:spAutoFit/>
                  </a:bodyPr>
                  <a:lstStyle/>
                  <a:p>
                    <a:pPr>
                      <a:defRPr sz="700" b="0" i="0">
                        <a:solidFill>
                          <a:srgbClr val="000000"/>
                        </a:solidFill>
                        <a:latin typeface="Arial Narrow" panose="020B0606020202030204" pitchFamily="34" charset="0"/>
                      </a:defRPr>
                    </a:pPr>
                    <a:r>
                      <a:rPr lang="en-US" sz="700" b="0" i="0">
                        <a:solidFill>
                          <a:srgbClr val="000000"/>
                        </a:solidFill>
                        <a:latin typeface="Arial Narrow" panose="020B0606020202030204" pitchFamily="34" charset="0"/>
                      </a:rPr>
                      <a:t>LUX</a:t>
                    </a: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5B-55EE-4E8D-8E82-166DECEADC54}"/>
                </c:ext>
              </c:extLst>
            </c:dLbl>
            <c:dLbl>
              <c:idx val="1"/>
              <c:tx>
                <c:rich>
                  <a:bodyPr wrap="square" lIns="38100" tIns="19050" rIns="38100" bIns="19050" anchor="ctr">
                    <a:spAutoFit/>
                  </a:bodyPr>
                  <a:lstStyle/>
                  <a:p>
                    <a:pPr>
                      <a:defRPr sz="700" b="0" i="0">
                        <a:solidFill>
                          <a:srgbClr val="000000"/>
                        </a:solidFill>
                        <a:latin typeface="Arial Narrow" panose="020B0606020202030204" pitchFamily="34" charset="0"/>
                      </a:defRPr>
                    </a:pPr>
                    <a:endParaRPr lang="en-GB" sz="700" b="0" i="0">
                      <a:solidFill>
                        <a:srgbClr val="000000"/>
                      </a:solidFill>
                      <a:latin typeface="Arial Narrow" panose="020B0606020202030204" pitchFamily="34" charset="0"/>
                    </a:endParaRP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5C-55EE-4E8D-8E82-166DECEADC54}"/>
                </c:ext>
              </c:extLst>
            </c:dLbl>
            <c:dLbl>
              <c:idx val="2"/>
              <c:tx>
                <c:rich>
                  <a:bodyPr wrap="square" lIns="38100" tIns="19050" rIns="38100" bIns="19050" anchor="ctr">
                    <a:spAutoFit/>
                  </a:bodyPr>
                  <a:lstStyle/>
                  <a:p>
                    <a:pPr>
                      <a:defRPr sz="700" b="0" i="0">
                        <a:solidFill>
                          <a:srgbClr val="000000"/>
                        </a:solidFill>
                        <a:latin typeface="Arial Narrow" panose="020B0606020202030204" pitchFamily="34" charset="0"/>
                      </a:defRPr>
                    </a:pPr>
                    <a:r>
                      <a:rPr lang="en-US" sz="700" b="0" i="0">
                        <a:solidFill>
                          <a:srgbClr val="000000"/>
                        </a:solidFill>
                        <a:latin typeface="Arial Narrow" panose="020B0606020202030204" pitchFamily="34" charset="0"/>
                      </a:rPr>
                      <a:t>LUX</a:t>
                    </a: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5A-55EE-4E8D-8E82-166DECEADC54}"/>
                </c:ext>
              </c:extLst>
            </c:dLbl>
            <c:spPr>
              <a:noFill/>
              <a:ln>
                <a:noFill/>
              </a:ln>
              <a:effectLst/>
            </c:spPr>
            <c:showLegendKey val="0"/>
            <c:showVal val="0"/>
            <c:showCatName val="0"/>
            <c:showSerName val="1"/>
            <c:showPercent val="0"/>
            <c:showBubbleSize val="0"/>
            <c:showLeaderLines val="0"/>
            <c:extLst>
              <c:ext xmlns:c15="http://schemas.microsoft.com/office/drawing/2012/chart" uri="{CE6537A1-D6FC-4f65-9D91-7224C49458BB}">
                <c15:showLeaderLines val="1"/>
              </c:ext>
            </c:extLst>
          </c:dLbls>
          <c:cat>
            <c:strRef>
              <c:f>'[3er5qt.xlsx]g2-1'!$D$27:$F$27</c:f>
              <c:strCache>
                <c:ptCount val="3"/>
                <c:pt idx="0">
                  <c:v>Care plans involve the service user or their representative </c:v>
                </c:pt>
                <c:pt idx="1">
                  <c:v>Care plans involve a family user or carer </c:v>
                </c:pt>
                <c:pt idx="2">
                  <c:v>Care plans include discussion of employment, educational, or other opportunities</c:v>
                </c:pt>
              </c:strCache>
            </c:strRef>
          </c:cat>
          <c:val>
            <c:numRef>
              <c:f>'[3er5qt.xlsx]g2-1'!$D$46:$F$46</c:f>
              <c:numCache>
                <c:formatCode>General</c:formatCode>
                <c:ptCount val="3"/>
                <c:pt idx="0">
                  <c:v>1</c:v>
                </c:pt>
                <c:pt idx="2">
                  <c:v>1</c:v>
                </c:pt>
              </c:numCache>
            </c:numRef>
          </c:val>
          <c:extLst>
            <c:ext xmlns:c16="http://schemas.microsoft.com/office/drawing/2014/chart" uri="{C3380CC4-5D6E-409C-BE32-E72D297353CC}">
              <c16:uniqueId val="{0000005D-55EE-4E8D-8E82-166DECEADC54}"/>
            </c:ext>
          </c:extLst>
        </c:ser>
        <c:ser>
          <c:idx val="19"/>
          <c:order val="19"/>
          <c:tx>
            <c:strRef>
              <c:f>'[3er5qt.xlsx]g2-1'!$C$47</c:f>
              <c:strCache>
                <c:ptCount val="1"/>
                <c:pt idx="0">
                  <c:v>LVA</c:v>
                </c:pt>
              </c:strCache>
            </c:strRef>
          </c:tx>
          <c:spPr>
            <a:solidFill>
              <a:srgbClr val="D1D1D1"/>
            </a:solidFill>
            <a:ln w="6350">
              <a:solidFill>
                <a:sysClr val="windowText" lastClr="000000"/>
              </a:solidFill>
            </a:ln>
          </c:spPr>
          <c:invertIfNegative val="0"/>
          <c:dPt>
            <c:idx val="0"/>
            <c:invertIfNegative val="0"/>
            <c:bubble3D val="0"/>
            <c:spPr>
              <a:solidFill>
                <a:srgbClr val="7FA8D9"/>
              </a:solidFill>
              <a:ln w="6350">
                <a:solidFill>
                  <a:sysClr val="windowText" lastClr="000000"/>
                </a:solidFill>
              </a:ln>
            </c:spPr>
            <c:extLst>
              <c:ext xmlns:c16="http://schemas.microsoft.com/office/drawing/2014/chart" uri="{C3380CC4-5D6E-409C-BE32-E72D297353CC}">
                <c16:uniqueId val="{0000005F-55EE-4E8D-8E82-166DECEADC54}"/>
              </c:ext>
            </c:extLst>
          </c:dPt>
          <c:dPt>
            <c:idx val="1"/>
            <c:invertIfNegative val="0"/>
            <c:bubble3D val="0"/>
            <c:spPr>
              <a:solidFill>
                <a:srgbClr val="83D2E3"/>
              </a:solidFill>
              <a:ln w="6350">
                <a:solidFill>
                  <a:sysClr val="windowText" lastClr="000000"/>
                </a:solidFill>
              </a:ln>
            </c:spPr>
            <c:extLst>
              <c:ext xmlns:c16="http://schemas.microsoft.com/office/drawing/2014/chart" uri="{C3380CC4-5D6E-409C-BE32-E72D297353CC}">
                <c16:uniqueId val="{00000061-55EE-4E8D-8E82-166DECEADC54}"/>
              </c:ext>
            </c:extLst>
          </c:dPt>
          <c:dPt>
            <c:idx val="2"/>
            <c:invertIfNegative val="0"/>
            <c:bubble3D val="0"/>
            <c:spPr>
              <a:solidFill>
                <a:srgbClr val="83D2E3"/>
              </a:solidFill>
              <a:ln w="6350">
                <a:solidFill>
                  <a:sysClr val="windowText" lastClr="000000"/>
                </a:solidFill>
              </a:ln>
            </c:spPr>
            <c:extLst>
              <c:ext xmlns:c16="http://schemas.microsoft.com/office/drawing/2014/chart" uri="{C3380CC4-5D6E-409C-BE32-E72D297353CC}">
                <c16:uniqueId val="{00000063-55EE-4E8D-8E82-166DECEADC54}"/>
              </c:ext>
            </c:extLst>
          </c:dPt>
          <c:dLbls>
            <c:dLbl>
              <c:idx val="0"/>
              <c:tx>
                <c:rich>
                  <a:bodyPr wrap="square" lIns="38100" tIns="19050" rIns="38100" bIns="19050" anchor="ctr">
                    <a:spAutoFit/>
                  </a:bodyPr>
                  <a:lstStyle/>
                  <a:p>
                    <a:pPr>
                      <a:defRPr sz="700" b="0" i="0">
                        <a:solidFill>
                          <a:srgbClr val="000000"/>
                        </a:solidFill>
                        <a:latin typeface="Arial Narrow" panose="020B0606020202030204" pitchFamily="34" charset="0"/>
                      </a:defRPr>
                    </a:pPr>
                    <a:r>
                      <a:rPr lang="en-US" sz="700" b="0" i="0">
                        <a:solidFill>
                          <a:srgbClr val="000000"/>
                        </a:solidFill>
                        <a:latin typeface="Arial Narrow" panose="020B0606020202030204" pitchFamily="34" charset="0"/>
                      </a:rPr>
                      <a:t>LVA</a:t>
                    </a: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5F-55EE-4E8D-8E82-166DECEADC54}"/>
                </c:ext>
              </c:extLst>
            </c:dLbl>
            <c:dLbl>
              <c:idx val="1"/>
              <c:tx>
                <c:rich>
                  <a:bodyPr wrap="square" lIns="38100" tIns="19050" rIns="38100" bIns="19050" anchor="ctr">
                    <a:spAutoFit/>
                  </a:bodyPr>
                  <a:lstStyle/>
                  <a:p>
                    <a:pPr>
                      <a:defRPr sz="700" b="0" i="0">
                        <a:solidFill>
                          <a:srgbClr val="000000"/>
                        </a:solidFill>
                        <a:latin typeface="Arial Narrow" panose="020B0606020202030204" pitchFamily="34" charset="0"/>
                      </a:defRPr>
                    </a:pPr>
                    <a:r>
                      <a:rPr lang="en-US" sz="700" b="0" i="0">
                        <a:solidFill>
                          <a:srgbClr val="000000"/>
                        </a:solidFill>
                        <a:latin typeface="Arial Narrow" panose="020B0606020202030204" pitchFamily="34" charset="0"/>
                      </a:rPr>
                      <a:t>LVA</a:t>
                    </a: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61-55EE-4E8D-8E82-166DECEADC54}"/>
                </c:ext>
              </c:extLst>
            </c:dLbl>
            <c:dLbl>
              <c:idx val="2"/>
              <c:tx>
                <c:rich>
                  <a:bodyPr wrap="square" lIns="38100" tIns="19050" rIns="38100" bIns="19050" anchor="ctr">
                    <a:spAutoFit/>
                  </a:bodyPr>
                  <a:lstStyle/>
                  <a:p>
                    <a:pPr>
                      <a:defRPr sz="700" b="0" i="0">
                        <a:solidFill>
                          <a:srgbClr val="000000"/>
                        </a:solidFill>
                        <a:latin typeface="Arial Narrow" panose="020B0606020202030204" pitchFamily="34" charset="0"/>
                      </a:defRPr>
                    </a:pPr>
                    <a:r>
                      <a:rPr lang="en-US" sz="700" b="0" i="0">
                        <a:solidFill>
                          <a:srgbClr val="000000"/>
                        </a:solidFill>
                        <a:latin typeface="Arial Narrow" panose="020B0606020202030204" pitchFamily="34" charset="0"/>
                      </a:rPr>
                      <a:t>LVA</a:t>
                    </a: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63-55EE-4E8D-8E82-166DECEADC54}"/>
                </c:ext>
              </c:extLst>
            </c:dLbl>
            <c:spPr>
              <a:noFill/>
              <a:ln>
                <a:noFill/>
              </a:ln>
              <a:effectLst/>
            </c:spPr>
            <c:showLegendKey val="0"/>
            <c:showVal val="0"/>
            <c:showCatName val="0"/>
            <c:showSerName val="1"/>
            <c:showPercent val="0"/>
            <c:showBubbleSize val="0"/>
            <c:showLeaderLines val="0"/>
            <c:extLst>
              <c:ext xmlns:c15="http://schemas.microsoft.com/office/drawing/2012/chart" uri="{CE6537A1-D6FC-4f65-9D91-7224C49458BB}">
                <c15:showLeaderLines val="1"/>
              </c:ext>
            </c:extLst>
          </c:dLbls>
          <c:cat>
            <c:strRef>
              <c:f>'[3er5qt.xlsx]g2-1'!$D$27:$F$27</c:f>
              <c:strCache>
                <c:ptCount val="3"/>
                <c:pt idx="0">
                  <c:v>Care plans involve the service user or their representative </c:v>
                </c:pt>
                <c:pt idx="1">
                  <c:v>Care plans involve a family user or carer </c:v>
                </c:pt>
                <c:pt idx="2">
                  <c:v>Care plans include discussion of employment, educational, or other opportunities</c:v>
                </c:pt>
              </c:strCache>
            </c:strRef>
          </c:cat>
          <c:val>
            <c:numRef>
              <c:f>'[3er5qt.xlsx]g2-1'!$D$47:$F$47</c:f>
              <c:numCache>
                <c:formatCode>General</c:formatCode>
                <c:ptCount val="3"/>
                <c:pt idx="0">
                  <c:v>1</c:v>
                </c:pt>
                <c:pt idx="1">
                  <c:v>1</c:v>
                </c:pt>
                <c:pt idx="2">
                  <c:v>1</c:v>
                </c:pt>
              </c:numCache>
            </c:numRef>
          </c:val>
          <c:extLst>
            <c:ext xmlns:c16="http://schemas.microsoft.com/office/drawing/2014/chart" uri="{C3380CC4-5D6E-409C-BE32-E72D297353CC}">
              <c16:uniqueId val="{00000064-55EE-4E8D-8E82-166DECEADC54}"/>
            </c:ext>
          </c:extLst>
        </c:ser>
        <c:ser>
          <c:idx val="20"/>
          <c:order val="20"/>
          <c:tx>
            <c:strRef>
              <c:f>'[3er5qt.xlsx]g2-1'!$C$48</c:f>
              <c:strCache>
                <c:ptCount val="1"/>
                <c:pt idx="0">
                  <c:v>MEX</c:v>
                </c:pt>
              </c:strCache>
            </c:strRef>
          </c:tx>
          <c:spPr>
            <a:solidFill>
              <a:srgbClr val="83D2E3"/>
            </a:solidFill>
            <a:ln w="6350">
              <a:solidFill>
                <a:sysClr val="windowText" lastClr="000000"/>
              </a:solidFill>
            </a:ln>
          </c:spPr>
          <c:invertIfNegative val="0"/>
          <c:dLbls>
            <c:dLbl>
              <c:idx val="0"/>
              <c:tx>
                <c:rich>
                  <a:bodyPr wrap="square" lIns="38100" tIns="19050" rIns="38100" bIns="19050" anchor="ctr">
                    <a:spAutoFit/>
                  </a:bodyPr>
                  <a:lstStyle/>
                  <a:p>
                    <a:pPr>
                      <a:defRPr sz="700" b="0" i="0">
                        <a:solidFill>
                          <a:srgbClr val="000000"/>
                        </a:solidFill>
                        <a:latin typeface="Arial Narrow" panose="020B0606020202030204" pitchFamily="34" charset="0"/>
                      </a:defRPr>
                    </a:pPr>
                    <a:endParaRPr lang="en-GB" sz="700" b="0" i="0">
                      <a:solidFill>
                        <a:srgbClr val="000000"/>
                      </a:solidFill>
                      <a:latin typeface="Arial Narrow" panose="020B0606020202030204" pitchFamily="34" charset="0"/>
                    </a:endParaRP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65-55EE-4E8D-8E82-166DECEADC54}"/>
                </c:ext>
              </c:extLst>
            </c:dLbl>
            <c:dLbl>
              <c:idx val="1"/>
              <c:tx>
                <c:rich>
                  <a:bodyPr wrap="square" lIns="38100" tIns="19050" rIns="38100" bIns="19050" anchor="ctr">
                    <a:spAutoFit/>
                  </a:bodyPr>
                  <a:lstStyle/>
                  <a:p>
                    <a:pPr>
                      <a:defRPr sz="700" b="0" i="0">
                        <a:solidFill>
                          <a:srgbClr val="000000"/>
                        </a:solidFill>
                        <a:latin typeface="Arial Narrow" panose="020B0606020202030204" pitchFamily="34" charset="0"/>
                      </a:defRPr>
                    </a:pPr>
                    <a:endParaRPr lang="en-GB" sz="700" b="0" i="0">
                      <a:solidFill>
                        <a:srgbClr val="000000"/>
                      </a:solidFill>
                      <a:latin typeface="Arial Narrow" panose="020B0606020202030204" pitchFamily="34" charset="0"/>
                    </a:endParaRP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66-55EE-4E8D-8E82-166DECEADC54}"/>
                </c:ext>
              </c:extLst>
            </c:dLbl>
            <c:dLbl>
              <c:idx val="2"/>
              <c:tx>
                <c:rich>
                  <a:bodyPr wrap="square" lIns="38100" tIns="19050" rIns="38100" bIns="19050" anchor="ctr">
                    <a:spAutoFit/>
                  </a:bodyPr>
                  <a:lstStyle/>
                  <a:p>
                    <a:pPr>
                      <a:defRPr sz="700" b="0" i="0">
                        <a:solidFill>
                          <a:srgbClr val="000000"/>
                        </a:solidFill>
                        <a:latin typeface="Arial Narrow" panose="020B0606020202030204" pitchFamily="34" charset="0"/>
                      </a:defRPr>
                    </a:pPr>
                    <a:r>
                      <a:rPr lang="en-US" sz="700" b="0" i="0">
                        <a:solidFill>
                          <a:srgbClr val="000000"/>
                        </a:solidFill>
                        <a:latin typeface="Arial Narrow" panose="020B0606020202030204" pitchFamily="34" charset="0"/>
                      </a:rPr>
                      <a:t>MEX</a:t>
                    </a: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67-55EE-4E8D-8E82-166DECEADC54}"/>
                </c:ext>
              </c:extLst>
            </c:dLbl>
            <c:spPr>
              <a:noFill/>
              <a:ln>
                <a:noFill/>
              </a:ln>
              <a:effectLst/>
            </c:spPr>
            <c:showLegendKey val="0"/>
            <c:showVal val="0"/>
            <c:showCatName val="0"/>
            <c:showSerName val="1"/>
            <c:showPercent val="0"/>
            <c:showBubbleSize val="0"/>
            <c:showLeaderLines val="0"/>
            <c:extLst>
              <c:ext xmlns:c15="http://schemas.microsoft.com/office/drawing/2012/chart" uri="{CE6537A1-D6FC-4f65-9D91-7224C49458BB}">
                <c15:showLeaderLines val="1"/>
              </c:ext>
            </c:extLst>
          </c:dLbls>
          <c:cat>
            <c:strRef>
              <c:f>'[3er5qt.xlsx]g2-1'!$D$27:$F$27</c:f>
              <c:strCache>
                <c:ptCount val="3"/>
                <c:pt idx="0">
                  <c:v>Care plans involve the service user or their representative </c:v>
                </c:pt>
                <c:pt idx="1">
                  <c:v>Care plans involve a family user or carer </c:v>
                </c:pt>
                <c:pt idx="2">
                  <c:v>Care plans include discussion of employment, educational, or other opportunities</c:v>
                </c:pt>
              </c:strCache>
            </c:strRef>
          </c:cat>
          <c:val>
            <c:numRef>
              <c:f>'[3er5qt.xlsx]g2-1'!$D$48:$F$48</c:f>
              <c:numCache>
                <c:formatCode>General</c:formatCode>
                <c:ptCount val="3"/>
                <c:pt idx="2">
                  <c:v>1</c:v>
                </c:pt>
              </c:numCache>
            </c:numRef>
          </c:val>
          <c:extLst>
            <c:ext xmlns:c16="http://schemas.microsoft.com/office/drawing/2014/chart" uri="{C3380CC4-5D6E-409C-BE32-E72D297353CC}">
              <c16:uniqueId val="{00000068-55EE-4E8D-8E82-166DECEADC54}"/>
            </c:ext>
          </c:extLst>
        </c:ser>
        <c:ser>
          <c:idx val="21"/>
          <c:order val="21"/>
          <c:tx>
            <c:strRef>
              <c:f>'[3er5qt.xlsx]g2-1'!$C$49</c:f>
              <c:strCache>
                <c:ptCount val="1"/>
                <c:pt idx="0">
                  <c:v>NLD</c:v>
                </c:pt>
              </c:strCache>
            </c:strRef>
          </c:tx>
          <c:spPr>
            <a:solidFill>
              <a:srgbClr val="5081BD"/>
            </a:solidFill>
            <a:ln w="6350">
              <a:solidFill>
                <a:sysClr val="windowText" lastClr="000000"/>
              </a:solidFill>
            </a:ln>
          </c:spPr>
          <c:invertIfNegative val="0"/>
          <c:dPt>
            <c:idx val="0"/>
            <c:invertIfNegative val="0"/>
            <c:bubble3D val="0"/>
            <c:spPr>
              <a:solidFill>
                <a:srgbClr val="006BB6"/>
              </a:solidFill>
              <a:ln w="6350">
                <a:solidFill>
                  <a:sysClr val="windowText" lastClr="000000"/>
                </a:solidFill>
              </a:ln>
            </c:spPr>
            <c:extLst>
              <c:ext xmlns:c16="http://schemas.microsoft.com/office/drawing/2014/chart" uri="{C3380CC4-5D6E-409C-BE32-E72D297353CC}">
                <c16:uniqueId val="{0000006A-55EE-4E8D-8E82-166DECEADC54}"/>
              </c:ext>
            </c:extLst>
          </c:dPt>
          <c:dPt>
            <c:idx val="1"/>
            <c:invertIfNegative val="0"/>
            <c:bubble3D val="0"/>
            <c:spPr>
              <a:solidFill>
                <a:srgbClr val="006BB6"/>
              </a:solidFill>
              <a:ln w="6350">
                <a:solidFill>
                  <a:sysClr val="windowText" lastClr="000000"/>
                </a:solidFill>
              </a:ln>
            </c:spPr>
            <c:extLst>
              <c:ext xmlns:c16="http://schemas.microsoft.com/office/drawing/2014/chart" uri="{C3380CC4-5D6E-409C-BE32-E72D297353CC}">
                <c16:uniqueId val="{0000006C-55EE-4E8D-8E82-166DECEADC54}"/>
              </c:ext>
            </c:extLst>
          </c:dPt>
          <c:dPt>
            <c:idx val="2"/>
            <c:invertIfNegative val="0"/>
            <c:bubble3D val="0"/>
            <c:spPr>
              <a:solidFill>
                <a:srgbClr val="7FA8D9"/>
              </a:solidFill>
              <a:ln w="6350">
                <a:solidFill>
                  <a:sysClr val="windowText" lastClr="000000"/>
                </a:solidFill>
              </a:ln>
            </c:spPr>
            <c:extLst>
              <c:ext xmlns:c16="http://schemas.microsoft.com/office/drawing/2014/chart" uri="{C3380CC4-5D6E-409C-BE32-E72D297353CC}">
                <c16:uniqueId val="{0000006E-55EE-4E8D-8E82-166DECEADC54}"/>
              </c:ext>
            </c:extLst>
          </c:dPt>
          <c:dLbls>
            <c:dLbl>
              <c:idx val="0"/>
              <c:tx>
                <c:rich>
                  <a:bodyPr wrap="square" lIns="38100" tIns="19050" rIns="38100" bIns="19050" anchor="ctr">
                    <a:spAutoFit/>
                  </a:bodyPr>
                  <a:lstStyle/>
                  <a:p>
                    <a:pPr>
                      <a:defRPr sz="700" b="0" i="0">
                        <a:solidFill>
                          <a:srgbClr val="000000"/>
                        </a:solidFill>
                        <a:latin typeface="Arial Narrow" panose="020B0606020202030204" pitchFamily="34" charset="0"/>
                      </a:defRPr>
                    </a:pPr>
                    <a:r>
                      <a:rPr lang="en-US" sz="700" b="0" i="0">
                        <a:solidFill>
                          <a:srgbClr val="000000"/>
                        </a:solidFill>
                        <a:latin typeface="Arial Narrow" panose="020B0606020202030204" pitchFamily="34" charset="0"/>
                      </a:rPr>
                      <a:t>NLD</a:t>
                    </a: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6A-55EE-4E8D-8E82-166DECEADC54}"/>
                </c:ext>
              </c:extLst>
            </c:dLbl>
            <c:dLbl>
              <c:idx val="1"/>
              <c:tx>
                <c:rich>
                  <a:bodyPr wrap="square" lIns="38100" tIns="19050" rIns="38100" bIns="19050" anchor="ctr">
                    <a:spAutoFit/>
                  </a:bodyPr>
                  <a:lstStyle/>
                  <a:p>
                    <a:pPr>
                      <a:defRPr sz="700" b="0" i="0">
                        <a:solidFill>
                          <a:srgbClr val="000000"/>
                        </a:solidFill>
                        <a:latin typeface="Arial Narrow" panose="020B0606020202030204" pitchFamily="34" charset="0"/>
                      </a:defRPr>
                    </a:pPr>
                    <a:r>
                      <a:rPr lang="en-US" sz="700" b="0" i="0">
                        <a:solidFill>
                          <a:srgbClr val="000000"/>
                        </a:solidFill>
                        <a:latin typeface="Arial Narrow" panose="020B0606020202030204" pitchFamily="34" charset="0"/>
                      </a:rPr>
                      <a:t>NLD</a:t>
                    </a: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6C-55EE-4E8D-8E82-166DECEADC54}"/>
                </c:ext>
              </c:extLst>
            </c:dLbl>
            <c:dLbl>
              <c:idx val="2"/>
              <c:tx>
                <c:rich>
                  <a:bodyPr wrap="square" lIns="38100" tIns="19050" rIns="38100" bIns="19050" anchor="ctr">
                    <a:spAutoFit/>
                  </a:bodyPr>
                  <a:lstStyle/>
                  <a:p>
                    <a:pPr>
                      <a:defRPr sz="700" b="0" i="0">
                        <a:solidFill>
                          <a:srgbClr val="000000"/>
                        </a:solidFill>
                        <a:latin typeface="Arial Narrow" panose="020B0606020202030204" pitchFamily="34" charset="0"/>
                      </a:defRPr>
                    </a:pPr>
                    <a:r>
                      <a:rPr lang="en-US" sz="700" b="0" i="0">
                        <a:solidFill>
                          <a:srgbClr val="000000"/>
                        </a:solidFill>
                        <a:latin typeface="Arial Narrow" panose="020B0606020202030204" pitchFamily="34" charset="0"/>
                      </a:rPr>
                      <a:t>NLD</a:t>
                    </a: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6E-55EE-4E8D-8E82-166DECEADC54}"/>
                </c:ext>
              </c:extLst>
            </c:dLbl>
            <c:spPr>
              <a:noFill/>
              <a:ln>
                <a:noFill/>
              </a:ln>
              <a:effectLst/>
            </c:spPr>
            <c:showLegendKey val="0"/>
            <c:showVal val="0"/>
            <c:showCatName val="0"/>
            <c:showSerName val="1"/>
            <c:showPercent val="0"/>
            <c:showBubbleSize val="0"/>
            <c:showLeaderLines val="0"/>
            <c:extLst>
              <c:ext xmlns:c15="http://schemas.microsoft.com/office/drawing/2012/chart" uri="{CE6537A1-D6FC-4f65-9D91-7224C49458BB}">
                <c15:showLeaderLines val="1"/>
              </c:ext>
            </c:extLst>
          </c:dLbls>
          <c:cat>
            <c:strRef>
              <c:f>'[3er5qt.xlsx]g2-1'!$D$27:$F$27</c:f>
              <c:strCache>
                <c:ptCount val="3"/>
                <c:pt idx="0">
                  <c:v>Care plans involve the service user or their representative </c:v>
                </c:pt>
                <c:pt idx="1">
                  <c:v>Care plans involve a family user or carer </c:v>
                </c:pt>
                <c:pt idx="2">
                  <c:v>Care plans include discussion of employment, educational, or other opportunities</c:v>
                </c:pt>
              </c:strCache>
            </c:strRef>
          </c:cat>
          <c:val>
            <c:numRef>
              <c:f>'[3er5qt.xlsx]g2-1'!$D$49:$F$49</c:f>
              <c:numCache>
                <c:formatCode>General</c:formatCode>
                <c:ptCount val="3"/>
                <c:pt idx="0">
                  <c:v>1</c:v>
                </c:pt>
                <c:pt idx="1">
                  <c:v>1</c:v>
                </c:pt>
                <c:pt idx="2">
                  <c:v>1</c:v>
                </c:pt>
              </c:numCache>
            </c:numRef>
          </c:val>
          <c:extLst>
            <c:ext xmlns:c16="http://schemas.microsoft.com/office/drawing/2014/chart" uri="{C3380CC4-5D6E-409C-BE32-E72D297353CC}">
              <c16:uniqueId val="{0000006F-55EE-4E8D-8E82-166DECEADC54}"/>
            </c:ext>
          </c:extLst>
        </c:ser>
        <c:ser>
          <c:idx val="22"/>
          <c:order val="22"/>
          <c:tx>
            <c:strRef>
              <c:f>'[3er5qt.xlsx]g2-1'!$C$50</c:f>
              <c:strCache>
                <c:ptCount val="1"/>
                <c:pt idx="0">
                  <c:v>NOR</c:v>
                </c:pt>
              </c:strCache>
            </c:strRef>
          </c:tx>
          <c:spPr>
            <a:solidFill>
              <a:srgbClr val="83D2E3"/>
            </a:solidFill>
            <a:ln w="6350">
              <a:solidFill>
                <a:sysClr val="windowText" lastClr="000000"/>
              </a:solidFill>
            </a:ln>
          </c:spPr>
          <c:invertIfNegative val="0"/>
          <c:dLbls>
            <c:dLbl>
              <c:idx val="0"/>
              <c:tx>
                <c:rich>
                  <a:bodyPr wrap="square" lIns="38100" tIns="19050" rIns="38100" bIns="19050" anchor="ctr">
                    <a:spAutoFit/>
                  </a:bodyPr>
                  <a:lstStyle/>
                  <a:p>
                    <a:pPr>
                      <a:defRPr sz="700" b="0" i="0">
                        <a:solidFill>
                          <a:schemeClr val="tx1"/>
                        </a:solidFill>
                        <a:latin typeface="Arial Narrow" panose="020B0606020202030204" pitchFamily="34" charset="0"/>
                      </a:defRPr>
                    </a:pPr>
                    <a:r>
                      <a:rPr lang="en-US" sz="700" b="0" i="0">
                        <a:solidFill>
                          <a:schemeClr val="tx1"/>
                        </a:solidFill>
                        <a:latin typeface="Arial Narrow" panose="020B0606020202030204" pitchFamily="34" charset="0"/>
                      </a:rPr>
                      <a:t>NOR</a:t>
                    </a:r>
                  </a:p>
                </c:rich>
              </c:tx>
              <c:spPr>
                <a:noFill/>
                <a:ln>
                  <a:noFill/>
                </a:ln>
                <a:effectLst/>
              </c:sp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70-55EE-4E8D-8E82-166DECEADC54}"/>
                </c:ext>
              </c:extLst>
            </c:dLbl>
            <c:dLbl>
              <c:idx val="1"/>
              <c:tx>
                <c:rich>
                  <a:bodyPr wrap="square" lIns="38100" tIns="19050" rIns="38100" bIns="19050" anchor="ctr">
                    <a:spAutoFit/>
                  </a:bodyPr>
                  <a:lstStyle/>
                  <a:p>
                    <a:pPr>
                      <a:defRPr sz="700" b="0" i="0">
                        <a:solidFill>
                          <a:schemeClr val="tx1"/>
                        </a:solidFill>
                        <a:latin typeface="Arial Narrow" panose="020B0606020202030204" pitchFamily="34" charset="0"/>
                      </a:defRPr>
                    </a:pPr>
                    <a:r>
                      <a:rPr lang="en-US" sz="700" b="0" i="0">
                        <a:solidFill>
                          <a:schemeClr val="tx1"/>
                        </a:solidFill>
                        <a:latin typeface="Arial Narrow" panose="020B0606020202030204" pitchFamily="34" charset="0"/>
                      </a:rPr>
                      <a:t>NOR</a:t>
                    </a:r>
                  </a:p>
                </c:rich>
              </c:tx>
              <c:spPr>
                <a:noFill/>
                <a:ln>
                  <a:noFill/>
                </a:ln>
                <a:effectLst/>
              </c:sp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71-55EE-4E8D-8E82-166DECEADC54}"/>
                </c:ext>
              </c:extLst>
            </c:dLbl>
            <c:dLbl>
              <c:idx val="2"/>
              <c:layout>
                <c:manualLayout>
                  <c:x val="4.3700849448164939E-3"/>
                  <c:y val="4.9273468526280992E-3"/>
                </c:manualLayout>
              </c:layout>
              <c:tx>
                <c:rich>
                  <a:bodyPr wrap="square" lIns="38100" tIns="19050" rIns="38100" bIns="19050" anchor="ctr">
                    <a:spAutoFit/>
                  </a:bodyPr>
                  <a:lstStyle/>
                  <a:p>
                    <a:pPr>
                      <a:defRPr sz="700" b="0" i="0">
                        <a:solidFill>
                          <a:schemeClr val="tx1"/>
                        </a:solidFill>
                        <a:latin typeface="Arial Narrow" panose="020B0606020202030204" pitchFamily="34" charset="0"/>
                      </a:defRPr>
                    </a:pPr>
                    <a:endParaRPr lang="en-US" sz="700" b="0" i="0">
                      <a:solidFill>
                        <a:schemeClr val="tx1"/>
                      </a:solidFill>
                      <a:latin typeface="Arial Narrow" panose="020B0606020202030204" pitchFamily="34" charset="0"/>
                    </a:endParaRPr>
                  </a:p>
                </c:rich>
              </c:tx>
              <c:spPr>
                <a:noFill/>
                <a:ln>
                  <a:noFill/>
                </a:ln>
                <a:effectLst/>
              </c:spPr>
              <c:showLegendKey val="0"/>
              <c:showVal val="0"/>
              <c:showCatName val="0"/>
              <c:showSerName val="0"/>
              <c:showPercent val="0"/>
              <c:showBubbleSize val="0"/>
              <c:extLst>
                <c:ext xmlns:c15="http://schemas.microsoft.com/office/drawing/2012/chart" uri="{CE6537A1-D6FC-4f65-9D91-7224C49458BB}">
                  <c15:layout>
                    <c:manualLayout>
                      <c:w val="5.0266816052457537E-2"/>
                      <c:h val="5.4373466508784642E-2"/>
                    </c:manualLayout>
                  </c15:layout>
                </c:ext>
                <c:ext xmlns:c16="http://schemas.microsoft.com/office/drawing/2014/chart" uri="{C3380CC4-5D6E-409C-BE32-E72D297353CC}">
                  <c16:uniqueId val="{00000072-55EE-4E8D-8E82-166DECEADC54}"/>
                </c:ext>
              </c:extLst>
            </c:dLbl>
            <c:spPr>
              <a:noFill/>
              <a:ln>
                <a:noFill/>
              </a:ln>
              <a:effectLst/>
            </c:spPr>
            <c:txPr>
              <a:bodyPr wrap="square" lIns="38100" tIns="19050" rIns="38100" bIns="19050" anchor="ctr">
                <a:spAutoFit/>
              </a:bodyPr>
              <a:lstStyle/>
              <a:p>
                <a:pPr>
                  <a:defRPr>
                    <a:solidFill>
                      <a:schemeClr val="tx1"/>
                    </a:solidFill>
                  </a:defRPr>
                </a:pPr>
                <a:endParaRPr lang="el-GR"/>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'[3er5qt.xlsx]g2-1'!$D$27:$F$27</c:f>
              <c:strCache>
                <c:ptCount val="3"/>
                <c:pt idx="0">
                  <c:v>Care plans involve the service user or their representative </c:v>
                </c:pt>
                <c:pt idx="1">
                  <c:v>Care plans involve a family user or carer </c:v>
                </c:pt>
                <c:pt idx="2">
                  <c:v>Care plans include discussion of employment, educational, or other opportunities</c:v>
                </c:pt>
              </c:strCache>
            </c:strRef>
          </c:cat>
          <c:val>
            <c:numRef>
              <c:f>'[3er5qt.xlsx]g2-1'!$D$50:$F$50</c:f>
              <c:numCache>
                <c:formatCode>General</c:formatCode>
                <c:ptCount val="3"/>
                <c:pt idx="0">
                  <c:v>1</c:v>
                </c:pt>
                <c:pt idx="1">
                  <c:v>1</c:v>
                </c:pt>
                <c:pt idx="2">
                  <c:v>1</c:v>
                </c:pt>
              </c:numCache>
            </c:numRef>
          </c:val>
          <c:extLst>
            <c:ext xmlns:c16="http://schemas.microsoft.com/office/drawing/2014/chart" uri="{C3380CC4-5D6E-409C-BE32-E72D297353CC}">
              <c16:uniqueId val="{00000073-55EE-4E8D-8E82-166DECEADC54}"/>
            </c:ext>
          </c:extLst>
        </c:ser>
        <c:ser>
          <c:idx val="23"/>
          <c:order val="23"/>
          <c:tx>
            <c:strRef>
              <c:f>'[3er5qt.xlsx]g2-1'!$C$51</c:f>
              <c:strCache>
                <c:ptCount val="1"/>
                <c:pt idx="0">
                  <c:v>NZL</c:v>
                </c:pt>
              </c:strCache>
            </c:strRef>
          </c:tx>
          <c:spPr>
            <a:solidFill>
              <a:srgbClr val="83D2E3"/>
            </a:solidFill>
            <a:ln w="6350">
              <a:solidFill>
                <a:sysClr val="windowText" lastClr="000000"/>
              </a:solidFill>
            </a:ln>
          </c:spPr>
          <c:invertIfNegative val="0"/>
          <c:dLbls>
            <c:dLbl>
              <c:idx val="0"/>
              <c:tx>
                <c:rich>
                  <a:bodyPr wrap="square" lIns="38100" tIns="19050" rIns="38100" bIns="19050" anchor="ctr">
                    <a:spAutoFit/>
                  </a:bodyPr>
                  <a:lstStyle/>
                  <a:p>
                    <a:pPr>
                      <a:defRPr sz="700" b="0" i="0">
                        <a:solidFill>
                          <a:srgbClr val="000000"/>
                        </a:solidFill>
                        <a:latin typeface="Arial Narrow" panose="020B0606020202030204" pitchFamily="34" charset="0"/>
                      </a:defRPr>
                    </a:pPr>
                    <a:r>
                      <a:rPr lang="en-US" sz="700" b="0" i="0">
                        <a:solidFill>
                          <a:srgbClr val="000000"/>
                        </a:solidFill>
                        <a:latin typeface="Arial Narrow" panose="020B0606020202030204" pitchFamily="34" charset="0"/>
                      </a:rPr>
                      <a:t>NZL</a:t>
                    </a: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74-55EE-4E8D-8E82-166DECEADC54}"/>
                </c:ext>
              </c:extLst>
            </c:dLbl>
            <c:dLbl>
              <c:idx val="1"/>
              <c:tx>
                <c:rich>
                  <a:bodyPr wrap="square" lIns="38100" tIns="19050" rIns="38100" bIns="19050" anchor="ctr">
                    <a:spAutoFit/>
                  </a:bodyPr>
                  <a:lstStyle/>
                  <a:p>
                    <a:pPr>
                      <a:defRPr sz="700" b="0" i="0">
                        <a:solidFill>
                          <a:srgbClr val="000000"/>
                        </a:solidFill>
                        <a:latin typeface="Arial Narrow" panose="020B0606020202030204" pitchFamily="34" charset="0"/>
                      </a:defRPr>
                    </a:pPr>
                    <a:endParaRPr lang="en-GB" sz="700" b="0" i="0">
                      <a:solidFill>
                        <a:srgbClr val="000000"/>
                      </a:solidFill>
                      <a:latin typeface="Arial Narrow" panose="020B0606020202030204" pitchFamily="34" charset="0"/>
                    </a:endParaRP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75-55EE-4E8D-8E82-166DECEADC54}"/>
                </c:ext>
              </c:extLst>
            </c:dLbl>
            <c:dLbl>
              <c:idx val="2"/>
              <c:tx>
                <c:rich>
                  <a:bodyPr wrap="square" lIns="38100" tIns="19050" rIns="38100" bIns="19050" anchor="ctr">
                    <a:spAutoFit/>
                  </a:bodyPr>
                  <a:lstStyle/>
                  <a:p>
                    <a:pPr>
                      <a:defRPr sz="700" b="0" i="0">
                        <a:solidFill>
                          <a:srgbClr val="000000"/>
                        </a:solidFill>
                        <a:latin typeface="Arial Narrow" panose="020B0606020202030204" pitchFamily="34" charset="0"/>
                      </a:defRPr>
                    </a:pPr>
                    <a:endParaRPr lang="en-GB" sz="700" b="0" i="0">
                      <a:solidFill>
                        <a:srgbClr val="000000"/>
                      </a:solidFill>
                      <a:latin typeface="Arial Narrow" panose="020B0606020202030204" pitchFamily="34" charset="0"/>
                    </a:endParaRP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76-55EE-4E8D-8E82-166DECEADC54}"/>
                </c:ext>
              </c:extLst>
            </c:dLbl>
            <c:spPr>
              <a:noFill/>
              <a:ln>
                <a:noFill/>
              </a:ln>
              <a:effectLst/>
            </c:spPr>
            <c:showLegendKey val="0"/>
            <c:showVal val="0"/>
            <c:showCatName val="0"/>
            <c:showSerName val="1"/>
            <c:showPercent val="0"/>
            <c:showBubbleSize val="0"/>
            <c:showLeaderLines val="0"/>
            <c:extLst>
              <c:ext xmlns:c15="http://schemas.microsoft.com/office/drawing/2012/chart" uri="{CE6537A1-D6FC-4f65-9D91-7224C49458BB}">
                <c15:showLeaderLines val="1"/>
              </c:ext>
            </c:extLst>
          </c:dLbls>
          <c:cat>
            <c:strRef>
              <c:f>'[3er5qt.xlsx]g2-1'!$D$27:$F$27</c:f>
              <c:strCache>
                <c:ptCount val="3"/>
                <c:pt idx="0">
                  <c:v>Care plans involve the service user or their representative </c:v>
                </c:pt>
                <c:pt idx="1">
                  <c:v>Care plans involve a family user or carer </c:v>
                </c:pt>
                <c:pt idx="2">
                  <c:v>Care plans include discussion of employment, educational, or other opportunities</c:v>
                </c:pt>
              </c:strCache>
            </c:strRef>
          </c:cat>
          <c:val>
            <c:numRef>
              <c:f>'[3er5qt.xlsx]g2-1'!$D$51:$F$51</c:f>
              <c:numCache>
                <c:formatCode>General</c:formatCode>
                <c:ptCount val="3"/>
                <c:pt idx="0">
                  <c:v>1</c:v>
                </c:pt>
              </c:numCache>
            </c:numRef>
          </c:val>
          <c:extLst>
            <c:ext xmlns:c16="http://schemas.microsoft.com/office/drawing/2014/chart" uri="{C3380CC4-5D6E-409C-BE32-E72D297353CC}">
              <c16:uniqueId val="{00000077-55EE-4E8D-8E82-166DECEADC54}"/>
            </c:ext>
          </c:extLst>
        </c:ser>
        <c:ser>
          <c:idx val="24"/>
          <c:order val="24"/>
          <c:tx>
            <c:strRef>
              <c:f>'[3er5qt.xlsx]g2-1'!$C$52</c:f>
              <c:strCache>
                <c:ptCount val="1"/>
                <c:pt idx="0">
                  <c:v>POL</c:v>
                </c:pt>
              </c:strCache>
            </c:strRef>
          </c:tx>
          <c:spPr>
            <a:solidFill>
              <a:srgbClr val="006BB6"/>
            </a:solidFill>
            <a:ln w="6350">
              <a:solidFill>
                <a:sysClr val="windowText" lastClr="000000"/>
              </a:solidFill>
            </a:ln>
          </c:spPr>
          <c:invertIfNegative val="0"/>
          <c:dPt>
            <c:idx val="0"/>
            <c:invertIfNegative val="0"/>
            <c:bubble3D val="0"/>
            <c:spPr>
              <a:solidFill>
                <a:srgbClr val="7FA8D9"/>
              </a:solidFill>
              <a:ln w="6350">
                <a:solidFill>
                  <a:sysClr val="windowText" lastClr="000000"/>
                </a:solidFill>
              </a:ln>
            </c:spPr>
            <c:extLst>
              <c:ext xmlns:c16="http://schemas.microsoft.com/office/drawing/2014/chart" uri="{C3380CC4-5D6E-409C-BE32-E72D297353CC}">
                <c16:uniqueId val="{00000079-55EE-4E8D-8E82-166DECEADC54}"/>
              </c:ext>
            </c:extLst>
          </c:dPt>
          <c:dPt>
            <c:idx val="1"/>
            <c:invertIfNegative val="0"/>
            <c:bubble3D val="0"/>
            <c:extLst>
              <c:ext xmlns:c16="http://schemas.microsoft.com/office/drawing/2014/chart" uri="{C3380CC4-5D6E-409C-BE32-E72D297353CC}">
                <c16:uniqueId val="{0000007A-55EE-4E8D-8E82-166DECEADC54}"/>
              </c:ext>
            </c:extLst>
          </c:dPt>
          <c:dPt>
            <c:idx val="2"/>
            <c:invertIfNegative val="0"/>
            <c:bubble3D val="0"/>
            <c:spPr>
              <a:solidFill>
                <a:srgbClr val="7FA8D9"/>
              </a:solidFill>
              <a:ln w="6350">
                <a:solidFill>
                  <a:sysClr val="windowText" lastClr="000000"/>
                </a:solidFill>
              </a:ln>
            </c:spPr>
            <c:extLst>
              <c:ext xmlns:c16="http://schemas.microsoft.com/office/drawing/2014/chart" uri="{C3380CC4-5D6E-409C-BE32-E72D297353CC}">
                <c16:uniqueId val="{0000007C-55EE-4E8D-8E82-166DECEADC54}"/>
              </c:ext>
            </c:extLst>
          </c:dPt>
          <c:dLbls>
            <c:dLbl>
              <c:idx val="0"/>
              <c:tx>
                <c:rich>
                  <a:bodyPr wrap="square" lIns="38100" tIns="19050" rIns="38100" bIns="19050" anchor="ctr">
                    <a:spAutoFit/>
                  </a:bodyPr>
                  <a:lstStyle/>
                  <a:p>
                    <a:pPr>
                      <a:defRPr sz="700" b="0" i="0">
                        <a:solidFill>
                          <a:srgbClr val="000000"/>
                        </a:solidFill>
                        <a:latin typeface="Arial Narrow" panose="020B0606020202030204" pitchFamily="34" charset="0"/>
                      </a:defRPr>
                    </a:pPr>
                    <a:r>
                      <a:rPr lang="en-US" sz="700" b="0" i="0">
                        <a:solidFill>
                          <a:srgbClr val="000000"/>
                        </a:solidFill>
                        <a:latin typeface="Arial Narrow" panose="020B0606020202030204" pitchFamily="34" charset="0"/>
                      </a:rPr>
                      <a:t>POL</a:t>
                    </a: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79-55EE-4E8D-8E82-166DECEADC54}"/>
                </c:ext>
              </c:extLst>
            </c:dLbl>
            <c:dLbl>
              <c:idx val="1"/>
              <c:tx>
                <c:rich>
                  <a:bodyPr wrap="square" lIns="38100" tIns="19050" rIns="38100" bIns="19050" anchor="ctr">
                    <a:spAutoFit/>
                  </a:bodyPr>
                  <a:lstStyle/>
                  <a:p>
                    <a:pPr>
                      <a:defRPr sz="700" b="0" i="0">
                        <a:solidFill>
                          <a:srgbClr val="000000"/>
                        </a:solidFill>
                        <a:latin typeface="Arial Narrow" panose="020B0606020202030204" pitchFamily="34" charset="0"/>
                      </a:defRPr>
                    </a:pPr>
                    <a:r>
                      <a:rPr lang="en-US" sz="700" b="0" i="0">
                        <a:solidFill>
                          <a:srgbClr val="000000"/>
                        </a:solidFill>
                        <a:latin typeface="Arial Narrow" panose="020B0606020202030204" pitchFamily="34" charset="0"/>
                      </a:rPr>
                      <a:t>POL</a:t>
                    </a: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7A-55EE-4E8D-8E82-166DECEADC54}"/>
                </c:ext>
              </c:extLst>
            </c:dLbl>
            <c:dLbl>
              <c:idx val="2"/>
              <c:tx>
                <c:rich>
                  <a:bodyPr wrap="square" lIns="38100" tIns="19050" rIns="38100" bIns="19050" anchor="ctr">
                    <a:spAutoFit/>
                  </a:bodyPr>
                  <a:lstStyle/>
                  <a:p>
                    <a:pPr>
                      <a:defRPr sz="700" b="0" i="0">
                        <a:solidFill>
                          <a:srgbClr val="000000"/>
                        </a:solidFill>
                        <a:latin typeface="Arial Narrow" panose="020B0606020202030204" pitchFamily="34" charset="0"/>
                      </a:defRPr>
                    </a:pPr>
                    <a:r>
                      <a:rPr lang="en-US" sz="700" b="0" i="0">
                        <a:solidFill>
                          <a:srgbClr val="000000"/>
                        </a:solidFill>
                        <a:latin typeface="Arial Narrow" panose="020B0606020202030204" pitchFamily="34" charset="0"/>
                      </a:rPr>
                      <a:t>POL</a:t>
                    </a: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7C-55EE-4E8D-8E82-166DECEADC54}"/>
                </c:ext>
              </c:extLst>
            </c:dLbl>
            <c:spPr>
              <a:noFill/>
              <a:ln>
                <a:noFill/>
              </a:ln>
              <a:effectLst/>
            </c:spPr>
            <c:showLegendKey val="0"/>
            <c:showVal val="0"/>
            <c:showCatName val="0"/>
            <c:showSerName val="1"/>
            <c:showPercent val="0"/>
            <c:showBubbleSize val="0"/>
            <c:showLeaderLines val="0"/>
            <c:extLst>
              <c:ext xmlns:c15="http://schemas.microsoft.com/office/drawing/2012/chart" uri="{CE6537A1-D6FC-4f65-9D91-7224C49458BB}">
                <c15:showLeaderLines val="1"/>
              </c:ext>
            </c:extLst>
          </c:dLbls>
          <c:cat>
            <c:strRef>
              <c:f>'[3er5qt.xlsx]g2-1'!$D$27:$F$27</c:f>
              <c:strCache>
                <c:ptCount val="3"/>
                <c:pt idx="0">
                  <c:v>Care plans involve the service user or their representative </c:v>
                </c:pt>
                <c:pt idx="1">
                  <c:v>Care plans involve a family user or carer </c:v>
                </c:pt>
                <c:pt idx="2">
                  <c:v>Care plans include discussion of employment, educational, or other opportunities</c:v>
                </c:pt>
              </c:strCache>
            </c:strRef>
          </c:cat>
          <c:val>
            <c:numRef>
              <c:f>'[3er5qt.xlsx]g2-1'!$D$52:$F$52</c:f>
              <c:numCache>
                <c:formatCode>General</c:formatCode>
                <c:ptCount val="3"/>
                <c:pt idx="0">
                  <c:v>1</c:v>
                </c:pt>
                <c:pt idx="1">
                  <c:v>1</c:v>
                </c:pt>
                <c:pt idx="2">
                  <c:v>1</c:v>
                </c:pt>
              </c:numCache>
            </c:numRef>
          </c:val>
          <c:extLst>
            <c:ext xmlns:c16="http://schemas.microsoft.com/office/drawing/2014/chart" uri="{C3380CC4-5D6E-409C-BE32-E72D297353CC}">
              <c16:uniqueId val="{0000007D-55EE-4E8D-8E82-166DECEADC54}"/>
            </c:ext>
          </c:extLst>
        </c:ser>
        <c:ser>
          <c:idx val="25"/>
          <c:order val="25"/>
          <c:tx>
            <c:strRef>
              <c:f>'[3er5qt.xlsx]g2-1'!$C$54</c:f>
              <c:strCache>
                <c:ptCount val="1"/>
                <c:pt idx="0">
                  <c:v>SVN</c:v>
                </c:pt>
              </c:strCache>
            </c:strRef>
          </c:tx>
          <c:spPr>
            <a:ln w="6350">
              <a:solidFill>
                <a:sysClr val="windowText" lastClr="000000"/>
              </a:solidFill>
            </a:ln>
          </c:spPr>
          <c:invertIfNegative val="0"/>
          <c:dPt>
            <c:idx val="0"/>
            <c:invertIfNegative val="0"/>
            <c:bubble3D val="0"/>
            <c:spPr>
              <a:solidFill>
                <a:srgbClr val="006BB6"/>
              </a:solidFill>
              <a:ln w="6350">
                <a:solidFill>
                  <a:sysClr val="windowText" lastClr="000000"/>
                </a:solidFill>
              </a:ln>
            </c:spPr>
            <c:extLst>
              <c:ext xmlns:c16="http://schemas.microsoft.com/office/drawing/2014/chart" uri="{C3380CC4-5D6E-409C-BE32-E72D297353CC}">
                <c16:uniqueId val="{0000007F-55EE-4E8D-8E82-166DECEADC54}"/>
              </c:ext>
            </c:extLst>
          </c:dPt>
          <c:dPt>
            <c:idx val="1"/>
            <c:invertIfNegative val="0"/>
            <c:bubble3D val="0"/>
            <c:spPr>
              <a:solidFill>
                <a:srgbClr val="83D2E3"/>
              </a:solidFill>
              <a:ln w="6350">
                <a:solidFill>
                  <a:sysClr val="windowText" lastClr="000000"/>
                </a:solidFill>
              </a:ln>
            </c:spPr>
            <c:extLst>
              <c:ext xmlns:c16="http://schemas.microsoft.com/office/drawing/2014/chart" uri="{C3380CC4-5D6E-409C-BE32-E72D297353CC}">
                <c16:uniqueId val="{00000081-55EE-4E8D-8E82-166DECEADC54}"/>
              </c:ext>
            </c:extLst>
          </c:dPt>
          <c:dPt>
            <c:idx val="2"/>
            <c:invertIfNegative val="0"/>
            <c:bubble3D val="0"/>
            <c:spPr>
              <a:solidFill>
                <a:srgbClr val="7FA8D9"/>
              </a:solidFill>
              <a:ln w="6350">
                <a:solidFill>
                  <a:sysClr val="windowText" lastClr="000000"/>
                </a:solidFill>
              </a:ln>
            </c:spPr>
            <c:extLst>
              <c:ext xmlns:c16="http://schemas.microsoft.com/office/drawing/2014/chart" uri="{C3380CC4-5D6E-409C-BE32-E72D297353CC}">
                <c16:uniqueId val="{00000083-55EE-4E8D-8E82-166DECEADC54}"/>
              </c:ext>
            </c:extLst>
          </c:dPt>
          <c:dLbls>
            <c:dLbl>
              <c:idx val="0"/>
              <c:tx>
                <c:rich>
                  <a:bodyPr wrap="square" lIns="38100" tIns="19050" rIns="38100" bIns="19050" anchor="ctr">
                    <a:spAutoFit/>
                  </a:bodyPr>
                  <a:lstStyle/>
                  <a:p>
                    <a:pPr>
                      <a:defRPr sz="700" b="0" i="0">
                        <a:solidFill>
                          <a:srgbClr val="000000"/>
                        </a:solidFill>
                        <a:latin typeface="Arial Narrow" panose="020B0606020202030204" pitchFamily="34" charset="0"/>
                      </a:defRPr>
                    </a:pPr>
                    <a:r>
                      <a:rPr lang="en-US" sz="700" b="0" i="0">
                        <a:solidFill>
                          <a:srgbClr val="000000"/>
                        </a:solidFill>
                        <a:latin typeface="Arial Narrow" panose="020B0606020202030204" pitchFamily="34" charset="0"/>
                      </a:rPr>
                      <a:t>SVN</a:t>
                    </a: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7F-55EE-4E8D-8E82-166DECEADC54}"/>
                </c:ext>
              </c:extLst>
            </c:dLbl>
            <c:dLbl>
              <c:idx val="1"/>
              <c:tx>
                <c:rich>
                  <a:bodyPr wrap="square" lIns="38100" tIns="19050" rIns="38100" bIns="19050" anchor="ctr">
                    <a:spAutoFit/>
                  </a:bodyPr>
                  <a:lstStyle/>
                  <a:p>
                    <a:pPr>
                      <a:defRPr sz="700" b="0" i="0">
                        <a:solidFill>
                          <a:srgbClr val="000000"/>
                        </a:solidFill>
                        <a:latin typeface="Arial Narrow" panose="020B0606020202030204" pitchFamily="34" charset="0"/>
                      </a:defRPr>
                    </a:pPr>
                    <a:r>
                      <a:rPr lang="en-US" sz="700" b="0" i="0">
                        <a:solidFill>
                          <a:srgbClr val="000000"/>
                        </a:solidFill>
                        <a:latin typeface="Arial Narrow" panose="020B0606020202030204" pitchFamily="34" charset="0"/>
                      </a:rPr>
                      <a:t>SVN</a:t>
                    </a: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81-55EE-4E8D-8E82-166DECEADC54}"/>
                </c:ext>
              </c:extLst>
            </c:dLbl>
            <c:dLbl>
              <c:idx val="2"/>
              <c:tx>
                <c:rich>
                  <a:bodyPr wrap="square" lIns="38100" tIns="19050" rIns="38100" bIns="19050" anchor="ctr">
                    <a:spAutoFit/>
                  </a:bodyPr>
                  <a:lstStyle/>
                  <a:p>
                    <a:pPr>
                      <a:defRPr sz="700" b="0" i="0">
                        <a:solidFill>
                          <a:srgbClr val="000000"/>
                        </a:solidFill>
                        <a:latin typeface="Arial Narrow" panose="020B0606020202030204" pitchFamily="34" charset="0"/>
                      </a:defRPr>
                    </a:pPr>
                    <a:r>
                      <a:rPr lang="en-US" sz="700" b="0" i="0">
                        <a:solidFill>
                          <a:srgbClr val="000000"/>
                        </a:solidFill>
                        <a:latin typeface="Arial Narrow" panose="020B0606020202030204" pitchFamily="34" charset="0"/>
                      </a:rPr>
                      <a:t>SVN</a:t>
                    </a: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83-55EE-4E8D-8E82-166DECEADC54}"/>
                </c:ext>
              </c:extLst>
            </c:dLbl>
            <c:spPr>
              <a:noFill/>
              <a:ln>
                <a:noFill/>
              </a:ln>
              <a:effectLst/>
            </c:spPr>
            <c:showLegendKey val="0"/>
            <c:showVal val="0"/>
            <c:showCatName val="0"/>
            <c:showSerName val="1"/>
            <c:showPercent val="0"/>
            <c:showBubbleSize val="0"/>
            <c:showLeaderLines val="0"/>
            <c:extLst>
              <c:ext xmlns:c15="http://schemas.microsoft.com/office/drawing/2012/chart" uri="{CE6537A1-D6FC-4f65-9D91-7224C49458BB}">
                <c15:showLeaderLines val="1"/>
              </c:ext>
            </c:extLst>
          </c:dLbls>
          <c:cat>
            <c:strRef>
              <c:f>'[3er5qt.xlsx]g2-1'!$D$27:$F$27</c:f>
              <c:strCache>
                <c:ptCount val="3"/>
                <c:pt idx="0">
                  <c:v>Care plans involve the service user or their representative </c:v>
                </c:pt>
                <c:pt idx="1">
                  <c:v>Care plans involve a family user or carer </c:v>
                </c:pt>
                <c:pt idx="2">
                  <c:v>Care plans include discussion of employment, educational, or other opportunities</c:v>
                </c:pt>
              </c:strCache>
            </c:strRef>
          </c:cat>
          <c:val>
            <c:numRef>
              <c:f>'[3er5qt.xlsx]g2-1'!$D$54:$F$54</c:f>
              <c:numCache>
                <c:formatCode>General</c:formatCode>
                <c:ptCount val="3"/>
                <c:pt idx="0">
                  <c:v>1</c:v>
                </c:pt>
                <c:pt idx="1">
                  <c:v>1</c:v>
                </c:pt>
                <c:pt idx="2">
                  <c:v>1</c:v>
                </c:pt>
              </c:numCache>
            </c:numRef>
          </c:val>
          <c:extLst>
            <c:ext xmlns:c16="http://schemas.microsoft.com/office/drawing/2014/chart" uri="{C3380CC4-5D6E-409C-BE32-E72D297353CC}">
              <c16:uniqueId val="{00000084-55EE-4E8D-8E82-166DECEADC54}"/>
            </c:ext>
          </c:extLst>
        </c:ser>
        <c:ser>
          <c:idx val="26"/>
          <c:order val="26"/>
          <c:tx>
            <c:strRef>
              <c:f>'[3er5qt.xlsx]g2-1'!$C$55</c:f>
              <c:strCache>
                <c:ptCount val="1"/>
                <c:pt idx="0">
                  <c:v>SWE</c:v>
                </c:pt>
              </c:strCache>
            </c:strRef>
          </c:tx>
          <c:spPr>
            <a:ln>
              <a:solidFill>
                <a:sysClr val="windowText" lastClr="000000"/>
              </a:solidFill>
            </a:ln>
          </c:spPr>
          <c:invertIfNegative val="0"/>
          <c:dLbls>
            <c:dLbl>
              <c:idx val="0"/>
              <c:tx>
                <c:rich>
                  <a:bodyPr wrap="square" lIns="38100" tIns="19050" rIns="38100" bIns="19050" anchor="ctr">
                    <a:spAutoFit/>
                  </a:bodyPr>
                  <a:lstStyle/>
                  <a:p>
                    <a:pPr>
                      <a:defRPr sz="700" b="0" i="0">
                        <a:solidFill>
                          <a:srgbClr val="000000"/>
                        </a:solidFill>
                        <a:latin typeface="Arial Narrow" panose="020B0606020202030204" pitchFamily="34" charset="0"/>
                      </a:defRPr>
                    </a:pPr>
                    <a:endParaRPr lang="en-GB" sz="700" b="0" i="0">
                      <a:solidFill>
                        <a:srgbClr val="000000"/>
                      </a:solidFill>
                      <a:latin typeface="Arial Narrow" panose="020B0606020202030204" pitchFamily="34" charset="0"/>
                    </a:endParaRPr>
                  </a:p>
                </c:rich>
              </c:tx>
              <c:spPr>
                <a:noFill/>
                <a:ln>
                  <a:noFill/>
                </a:ln>
                <a:effectLst/>
              </c:sp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85-55EE-4E8D-8E82-166DECEADC54}"/>
                </c:ext>
              </c:extLst>
            </c:dLbl>
            <c:dLbl>
              <c:idx val="1"/>
              <c:tx>
                <c:rich>
                  <a:bodyPr wrap="square" lIns="38100" tIns="19050" rIns="38100" bIns="19050" anchor="ctr">
                    <a:spAutoFit/>
                  </a:bodyPr>
                  <a:lstStyle/>
                  <a:p>
                    <a:pPr>
                      <a:defRPr sz="700" b="0" i="0">
                        <a:solidFill>
                          <a:srgbClr val="000000"/>
                        </a:solidFill>
                        <a:latin typeface="Arial Narrow" panose="020B0606020202030204" pitchFamily="34" charset="0"/>
                      </a:defRPr>
                    </a:pPr>
                    <a:endParaRPr lang="en-GB" sz="700" b="0" i="0">
                      <a:solidFill>
                        <a:srgbClr val="000000"/>
                      </a:solidFill>
                      <a:latin typeface="Arial Narrow" panose="020B0606020202030204" pitchFamily="34" charset="0"/>
                    </a:endParaRPr>
                  </a:p>
                </c:rich>
              </c:tx>
              <c:spPr>
                <a:noFill/>
                <a:ln>
                  <a:noFill/>
                </a:ln>
                <a:effectLst/>
              </c:sp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86-55EE-4E8D-8E82-166DECEADC54}"/>
                </c:ext>
              </c:extLst>
            </c:dLbl>
            <c:dLbl>
              <c:idx val="2"/>
              <c:tx>
                <c:rich>
                  <a:bodyPr wrap="square" lIns="38100" tIns="19050" rIns="38100" bIns="19050" anchor="ctr">
                    <a:spAutoFit/>
                  </a:bodyPr>
                  <a:lstStyle/>
                  <a:p>
                    <a:pPr>
                      <a:defRPr sz="700" b="0" i="0">
                        <a:solidFill>
                          <a:srgbClr val="000000"/>
                        </a:solidFill>
                        <a:latin typeface="Arial Narrow" panose="020B0606020202030204" pitchFamily="34" charset="0"/>
                      </a:defRPr>
                    </a:pPr>
                    <a:endParaRPr lang="en-GB" sz="700" b="0" i="0">
                      <a:solidFill>
                        <a:srgbClr val="000000"/>
                      </a:solidFill>
                      <a:latin typeface="Arial Narrow" panose="020B0606020202030204" pitchFamily="34" charset="0"/>
                    </a:endParaRPr>
                  </a:p>
                </c:rich>
              </c:tx>
              <c:spPr>
                <a:noFill/>
                <a:ln>
                  <a:noFill/>
                </a:ln>
                <a:effectLst/>
              </c:sp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87-55EE-4E8D-8E82-166DECEADC54}"/>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'[3er5qt.xlsx]g2-1'!$D$27:$F$27</c:f>
              <c:strCache>
                <c:ptCount val="3"/>
                <c:pt idx="0">
                  <c:v>Care plans involve the service user or their representative </c:v>
                </c:pt>
                <c:pt idx="1">
                  <c:v>Care plans involve a family user or carer </c:v>
                </c:pt>
                <c:pt idx="2">
                  <c:v>Care plans include discussion of employment, educational, or other opportunities</c:v>
                </c:pt>
              </c:strCache>
            </c:strRef>
          </c:cat>
          <c:val>
            <c:numRef>
              <c:f>'[3er5qt.xlsx]g2-1'!$D$55:$F$55</c:f>
              <c:numCache>
                <c:formatCode>General</c:formatCode>
                <c:ptCount val="3"/>
              </c:numCache>
            </c:numRef>
          </c:val>
          <c:extLst>
            <c:ext xmlns:c16="http://schemas.microsoft.com/office/drawing/2014/chart" uri="{C3380CC4-5D6E-409C-BE32-E72D297353CC}">
              <c16:uniqueId val="{00000088-55EE-4E8D-8E82-166DECEADC54}"/>
            </c:ext>
          </c:extLst>
        </c:ser>
        <c:ser>
          <c:idx val="27"/>
          <c:order val="27"/>
          <c:tx>
            <c:strRef>
              <c:f>'[3er5qt.xlsx]g2-1'!$C$56</c:f>
              <c:strCache>
                <c:ptCount val="1"/>
                <c:pt idx="0">
                  <c:v>TUR</c:v>
                </c:pt>
              </c:strCache>
            </c:strRef>
          </c:tx>
          <c:spPr>
            <a:solidFill>
              <a:srgbClr val="7FA8D9"/>
            </a:solidFill>
            <a:ln w="6350">
              <a:solidFill>
                <a:sysClr val="windowText" lastClr="000000"/>
              </a:solidFill>
            </a:ln>
          </c:spPr>
          <c:invertIfNegative val="0"/>
          <c:dLbls>
            <c:dLbl>
              <c:idx val="0"/>
              <c:tx>
                <c:rich>
                  <a:bodyPr wrap="square" lIns="38100" tIns="19050" rIns="38100" bIns="19050" anchor="ctr">
                    <a:spAutoFit/>
                  </a:bodyPr>
                  <a:lstStyle/>
                  <a:p>
                    <a:pPr>
                      <a:defRPr sz="700" b="0" i="0">
                        <a:solidFill>
                          <a:srgbClr val="000000"/>
                        </a:solidFill>
                        <a:latin typeface="Arial Narrow" panose="020B0606020202030204" pitchFamily="34" charset="0"/>
                      </a:defRPr>
                    </a:pPr>
                    <a:r>
                      <a:rPr lang="en-US" sz="700" b="0" i="0">
                        <a:solidFill>
                          <a:srgbClr val="000000"/>
                        </a:solidFill>
                        <a:latin typeface="Arial Narrow" panose="020B0606020202030204" pitchFamily="34" charset="0"/>
                      </a:rPr>
                      <a:t>TUR</a:t>
                    </a: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89-55EE-4E8D-8E82-166DECEADC54}"/>
                </c:ext>
              </c:extLst>
            </c:dLbl>
            <c:dLbl>
              <c:idx val="1"/>
              <c:tx>
                <c:rich>
                  <a:bodyPr wrap="square" lIns="38100" tIns="19050" rIns="38100" bIns="19050" anchor="ctr">
                    <a:spAutoFit/>
                  </a:bodyPr>
                  <a:lstStyle/>
                  <a:p>
                    <a:pPr>
                      <a:defRPr sz="700" b="0" i="0">
                        <a:solidFill>
                          <a:srgbClr val="000000"/>
                        </a:solidFill>
                        <a:latin typeface="Arial Narrow" panose="020B0606020202030204" pitchFamily="34" charset="0"/>
                      </a:defRPr>
                    </a:pPr>
                    <a:r>
                      <a:rPr lang="en-US" sz="700" b="0" i="0">
                        <a:solidFill>
                          <a:srgbClr val="000000"/>
                        </a:solidFill>
                        <a:latin typeface="Arial Narrow" panose="020B0606020202030204" pitchFamily="34" charset="0"/>
                      </a:rPr>
                      <a:t>TUR</a:t>
                    </a: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8A-55EE-4E8D-8E82-166DECEADC54}"/>
                </c:ext>
              </c:extLst>
            </c:dLbl>
            <c:dLbl>
              <c:idx val="2"/>
              <c:tx>
                <c:rich>
                  <a:bodyPr wrap="square" lIns="38100" tIns="19050" rIns="38100" bIns="19050" anchor="ctr">
                    <a:spAutoFit/>
                  </a:bodyPr>
                  <a:lstStyle/>
                  <a:p>
                    <a:pPr>
                      <a:defRPr sz="700" b="0" i="0">
                        <a:solidFill>
                          <a:srgbClr val="000000"/>
                        </a:solidFill>
                        <a:latin typeface="Arial Narrow" panose="020B0606020202030204" pitchFamily="34" charset="0"/>
                      </a:defRPr>
                    </a:pPr>
                    <a:endParaRPr lang="en-GB" sz="700" b="0" i="0">
                      <a:solidFill>
                        <a:srgbClr val="000000"/>
                      </a:solidFill>
                      <a:latin typeface="Arial Narrow" panose="020B0606020202030204" pitchFamily="34" charset="0"/>
                    </a:endParaRPr>
                  </a:p>
                </c:rich>
              </c:tx>
              <c:spPr>
                <a:noFill/>
                <a:ln>
                  <a:noFill/>
                </a:ln>
                <a:effectLst/>
              </c:spP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8B-55EE-4E8D-8E82-166DECEADC54}"/>
                </c:ext>
              </c:extLst>
            </c:dLbl>
            <c:spPr>
              <a:noFill/>
              <a:ln>
                <a:noFill/>
              </a:ln>
              <a:effectLst/>
            </c:spPr>
            <c:showLegendKey val="0"/>
            <c:showVal val="0"/>
            <c:showCatName val="0"/>
            <c:showSerName val="1"/>
            <c:showPercent val="0"/>
            <c:showBubbleSize val="0"/>
            <c:showLeaderLines val="0"/>
            <c:extLst>
              <c:ext xmlns:c15="http://schemas.microsoft.com/office/drawing/2012/chart" uri="{CE6537A1-D6FC-4f65-9D91-7224C49458BB}">
                <c15:showLeaderLines val="1"/>
              </c:ext>
            </c:extLst>
          </c:dLbls>
          <c:cat>
            <c:strRef>
              <c:f>'[3er5qt.xlsx]g2-1'!$D$27:$F$27</c:f>
              <c:strCache>
                <c:ptCount val="3"/>
                <c:pt idx="0">
                  <c:v>Care plans involve the service user or their representative </c:v>
                </c:pt>
                <c:pt idx="1">
                  <c:v>Care plans involve a family user or carer </c:v>
                </c:pt>
                <c:pt idx="2">
                  <c:v>Care plans include discussion of employment, educational, or other opportunities</c:v>
                </c:pt>
              </c:strCache>
            </c:strRef>
          </c:cat>
          <c:val>
            <c:numRef>
              <c:f>'[3er5qt.xlsx]g2-1'!$D$56:$F$56</c:f>
              <c:numCache>
                <c:formatCode>General</c:formatCode>
                <c:ptCount val="3"/>
                <c:pt idx="0">
                  <c:v>1</c:v>
                </c:pt>
                <c:pt idx="1">
                  <c:v>1</c:v>
                </c:pt>
              </c:numCache>
            </c:numRef>
          </c:val>
          <c:extLst>
            <c:ext xmlns:c16="http://schemas.microsoft.com/office/drawing/2014/chart" uri="{C3380CC4-5D6E-409C-BE32-E72D297353CC}">
              <c16:uniqueId val="{0000008C-55EE-4E8D-8E82-166DECEADC54}"/>
            </c:ext>
          </c:extLst>
        </c:ser>
        <c:dLbls>
          <c:showLegendKey val="0"/>
          <c:showVal val="1"/>
          <c:showCatName val="0"/>
          <c:showSerName val="0"/>
          <c:showPercent val="0"/>
          <c:showBubbleSize val="0"/>
        </c:dLbls>
        <c:gapWidth val="150"/>
        <c:overlap val="100"/>
        <c:axId val="423157760"/>
        <c:axId val="423159296"/>
      </c:barChart>
      <c:catAx>
        <c:axId val="423157760"/>
        <c:scaling>
          <c:orientation val="minMax"/>
        </c:scaling>
        <c:delete val="1"/>
        <c:axPos val="b"/>
        <c:majorGridlines>
          <c:spPr>
            <a:ln w="9525" cmpd="sng">
              <a:solidFill>
                <a:srgbClr val="FFFFFF"/>
              </a:solidFill>
              <a:prstDash val="solid"/>
            </a:ln>
          </c:spPr>
        </c:majorGridlines>
        <c:numFmt formatCode="General" sourceLinked="1"/>
        <c:majorTickMark val="in"/>
        <c:minorTickMark val="none"/>
        <c:tickLblPos val="low"/>
        <c:crossAx val="423159296"/>
        <c:crosses val="autoZero"/>
        <c:auto val="1"/>
        <c:lblAlgn val="ctr"/>
        <c:lblOffset val="0"/>
        <c:tickLblSkip val="1"/>
        <c:noMultiLvlLbl val="0"/>
      </c:catAx>
      <c:valAx>
        <c:axId val="423159296"/>
        <c:scaling>
          <c:orientation val="minMax"/>
        </c:scaling>
        <c:delete val="0"/>
        <c:axPos val="l"/>
        <c:majorGridlines>
          <c:spPr>
            <a:ln w="9525" cmpd="sng">
              <a:solidFill>
                <a:srgbClr val="FFFFFF"/>
              </a:solidFill>
              <a:prstDash val="solid"/>
            </a:ln>
          </c:spPr>
        </c:majorGridlines>
        <c:numFmt formatCode="General" sourceLinked="1"/>
        <c:majorTickMark val="in"/>
        <c:minorTickMark val="none"/>
        <c:tickLblPos val="nextTo"/>
        <c:spPr>
          <a:noFill/>
          <a:ln w="9525">
            <a:solidFill>
              <a:srgbClr val="000000"/>
            </a:solidFill>
            <a:prstDash val="solid"/>
          </a:ln>
          <a:extLst>
            <a:ext uri="{909E8E84-426E-40DD-AFC4-6F175D3DCCD1}">
              <a14:hiddenFill xmlns:a14="http://schemas.microsoft.com/office/drawing/2010/main">
                <a:noFill/>
              </a14:hiddenFill>
            </a:ext>
          </a:extLst>
        </c:spPr>
        <c:txPr>
          <a:bodyPr rot="-60000000" vert="horz"/>
          <a:lstStyle/>
          <a:p>
            <a:pPr>
              <a:defRPr sz="750" b="0" i="0">
                <a:solidFill>
                  <a:srgbClr val="000000"/>
                </a:solidFill>
                <a:latin typeface="Arial Narrow"/>
                <a:ea typeface="Arial Narrow"/>
                <a:cs typeface="Arial Narrow"/>
              </a:defRPr>
            </a:pPr>
            <a:endParaRPr lang="el-GR"/>
          </a:p>
        </c:txPr>
        <c:crossAx val="423157760"/>
        <c:crosses val="autoZero"/>
        <c:crossBetween val="between"/>
      </c:valAx>
      <c:spPr>
        <a:solidFill>
          <a:srgbClr val="EAEAEA"/>
        </a:solidFill>
        <a:ln w="9525">
          <a:noFill/>
        </a:ln>
      </c:spPr>
    </c:plotArea>
    <c:plotVisOnly val="1"/>
    <c:dispBlanksAs val="gap"/>
    <c:showDLblsOverMax val="1"/>
  </c:chart>
  <c:spPr>
    <a:noFill/>
    <a:ln w="9525" cap="flat" cmpd="sng" algn="ctr">
      <a:noFill/>
      <a:prstDash val="solid"/>
      <a:round/>
    </a:ln>
    <a:effectLst/>
    <a:extLst>
      <a:ext uri="{909E8E84-426E-40DD-AFC4-6F175D3DCCD1}">
        <a14:hiddenFill xmlns:a14="http://schemas.microsoft.com/office/drawing/2010/main">
          <a:solidFill>
            <a:sysClr val="window" lastClr="FFFFFF"/>
          </a:solidFill>
        </a14:hiddenFill>
      </a:ext>
      <a:ext uri="{91240B29-F687-4F45-9708-019B960494DF}">
        <a14:hiddenLine xmlns:a14="http://schemas.microsoft.com/office/drawing/2010/main" w="9525" cap="flat" cmpd="sng" algn="ctr">
          <a:solidFill>
            <a:sysClr val="windowText" lastClr="000000">
              <a:tint val="75000"/>
              <a:shade val="95000"/>
              <a:satMod val="105000"/>
            </a:sysClr>
          </a:solidFill>
          <a:prstDash val="solid"/>
          <a:round/>
        </a14:hiddenLine>
      </a:ext>
    </a:extLst>
  </c:spPr>
  <c:externalData r:id="rId2">
    <c:autoUpdate val="0"/>
  </c:externalData>
  <c:userShapes r:id="rId3"/>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l-G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Φύλλο1!$B$1</c:f>
              <c:strCache>
                <c:ptCount val="1"/>
                <c:pt idx="0">
                  <c:v>Σειρά 1</c:v>
                </c:pt>
              </c:strCache>
            </c:strRef>
          </c:tx>
          <c:spPr>
            <a:solidFill>
              <a:schemeClr val="accent1">
                <a:lumMod val="60000"/>
                <a:lumOff val="40000"/>
              </a:schemeClr>
            </a:solidFill>
            <a:ln>
              <a:noFill/>
            </a:ln>
            <a:effectLst/>
          </c:spPr>
          <c:invertIfNegative val="0"/>
          <c:dPt>
            <c:idx val="9"/>
            <c:invertIfNegative val="0"/>
            <c:bubble3D val="0"/>
            <c:spPr>
              <a:solidFill>
                <a:srgbClr val="FF0000"/>
              </a:solidFill>
              <a:ln>
                <a:noFill/>
              </a:ln>
              <a:effectLst/>
            </c:spPr>
            <c:extLst>
              <c:ext xmlns:c16="http://schemas.microsoft.com/office/drawing/2014/chart" uri="{C3380CC4-5D6E-409C-BE32-E72D297353CC}">
                <c16:uniqueId val="{00000003-E0A9-4945-8821-52C5D0E4B298}"/>
              </c:ext>
            </c:extLst>
          </c:dPt>
          <c:dPt>
            <c:idx val="11"/>
            <c:invertIfNegative val="0"/>
            <c:bubble3D val="0"/>
            <c:spPr>
              <a:solidFill>
                <a:schemeClr val="tx2">
                  <a:lumMod val="75000"/>
                </a:schemeClr>
              </a:solidFill>
              <a:ln>
                <a:noFill/>
              </a:ln>
              <a:effectLst/>
            </c:spPr>
            <c:extLst>
              <c:ext xmlns:c16="http://schemas.microsoft.com/office/drawing/2014/chart" uri="{C3380CC4-5D6E-409C-BE32-E72D297353CC}">
                <c16:uniqueId val="{00000004-E0A9-4945-8821-52C5D0E4B29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l-G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Φύλλο1!$A$2:$A$25</c:f>
              <c:strCache>
                <c:ptCount val="24"/>
                <c:pt idx="0">
                  <c:v>Σλοβακία</c:v>
                </c:pt>
                <c:pt idx="1">
                  <c:v>Λιθουανία</c:v>
                </c:pt>
                <c:pt idx="2">
                  <c:v>Νορβηγία</c:v>
                </c:pt>
                <c:pt idx="3">
                  <c:v>Αυστρία</c:v>
                </c:pt>
                <c:pt idx="4">
                  <c:v>Φινλανδία</c:v>
                </c:pt>
                <c:pt idx="5">
                  <c:v>Τσεχία</c:v>
                </c:pt>
                <c:pt idx="6">
                  <c:v>Πορτογαλία</c:v>
                </c:pt>
                <c:pt idx="7">
                  <c:v>Ισπανία</c:v>
                </c:pt>
                <c:pt idx="8">
                  <c:v>Γαλλία</c:v>
                </c:pt>
                <c:pt idx="9">
                  <c:v>ΟΑΣΑ</c:v>
                </c:pt>
                <c:pt idx="10">
                  <c:v>Εσθονία</c:v>
                </c:pt>
                <c:pt idx="11">
                  <c:v>Έλλάδα</c:v>
                </c:pt>
                <c:pt idx="12">
                  <c:v>Ιταλία</c:v>
                </c:pt>
                <c:pt idx="13">
                  <c:v>Ουγγαρία</c:v>
                </c:pt>
                <c:pt idx="14">
                  <c:v>Σουηδία</c:v>
                </c:pt>
                <c:pt idx="15">
                  <c:v>Ολλανδία</c:v>
                </c:pt>
                <c:pt idx="16">
                  <c:v>Πολωνία</c:v>
                </c:pt>
                <c:pt idx="17">
                  <c:v>Δανία</c:v>
                </c:pt>
                <c:pt idx="18">
                  <c:v>Λετονία</c:v>
                </c:pt>
                <c:pt idx="19">
                  <c:v>Ισραήλ</c:v>
                </c:pt>
                <c:pt idx="20">
                  <c:v>Ηνωμένο Βασίλειο</c:v>
                </c:pt>
                <c:pt idx="21">
                  <c:v>Λουξεμβούργο</c:v>
                </c:pt>
                <c:pt idx="22">
                  <c:v>Ιρλανδία</c:v>
                </c:pt>
                <c:pt idx="23">
                  <c:v>Σλοβενία</c:v>
                </c:pt>
              </c:strCache>
            </c:strRef>
          </c:cat>
          <c:val>
            <c:numRef>
              <c:f>Φύλλο1!$B$2:$B$25</c:f>
              <c:numCache>
                <c:formatCode>0%</c:formatCode>
                <c:ptCount val="24"/>
                <c:pt idx="0">
                  <c:v>0.28999999999999998</c:v>
                </c:pt>
                <c:pt idx="1">
                  <c:v>0.3</c:v>
                </c:pt>
                <c:pt idx="2">
                  <c:v>0.48</c:v>
                </c:pt>
                <c:pt idx="3">
                  <c:v>0.56999999999999995</c:v>
                </c:pt>
                <c:pt idx="4">
                  <c:v>0.6</c:v>
                </c:pt>
                <c:pt idx="5">
                  <c:v>0.6</c:v>
                </c:pt>
                <c:pt idx="6">
                  <c:v>0.64</c:v>
                </c:pt>
                <c:pt idx="7">
                  <c:v>0.65</c:v>
                </c:pt>
                <c:pt idx="8">
                  <c:v>0.66</c:v>
                </c:pt>
                <c:pt idx="9">
                  <c:v>0.67</c:v>
                </c:pt>
                <c:pt idx="10">
                  <c:v>0.69</c:v>
                </c:pt>
                <c:pt idx="11">
                  <c:v>0.7</c:v>
                </c:pt>
                <c:pt idx="12">
                  <c:v>0.71</c:v>
                </c:pt>
                <c:pt idx="13">
                  <c:v>0.71</c:v>
                </c:pt>
                <c:pt idx="14">
                  <c:v>0.73</c:v>
                </c:pt>
                <c:pt idx="15">
                  <c:v>0.73</c:v>
                </c:pt>
                <c:pt idx="16">
                  <c:v>0.75</c:v>
                </c:pt>
                <c:pt idx="17">
                  <c:v>0.76</c:v>
                </c:pt>
                <c:pt idx="18">
                  <c:v>0.79</c:v>
                </c:pt>
                <c:pt idx="19">
                  <c:v>0.79</c:v>
                </c:pt>
                <c:pt idx="20">
                  <c:v>0.8</c:v>
                </c:pt>
                <c:pt idx="21">
                  <c:v>0.83</c:v>
                </c:pt>
                <c:pt idx="22">
                  <c:v>0.84</c:v>
                </c:pt>
                <c:pt idx="23">
                  <c:v>0.88</c:v>
                </c:pt>
              </c:numCache>
            </c:numRef>
          </c:val>
          <c:extLst>
            <c:ext xmlns:c16="http://schemas.microsoft.com/office/drawing/2014/chart" uri="{C3380CC4-5D6E-409C-BE32-E72D297353CC}">
              <c16:uniqueId val="{00000000-E0A9-4945-8821-52C5D0E4B298}"/>
            </c:ext>
          </c:extLst>
        </c:ser>
        <c:dLbls>
          <c:showLegendKey val="0"/>
          <c:showVal val="0"/>
          <c:showCatName val="0"/>
          <c:showSerName val="0"/>
          <c:showPercent val="0"/>
          <c:showBubbleSize val="0"/>
        </c:dLbls>
        <c:gapWidth val="182"/>
        <c:axId val="13986072"/>
        <c:axId val="13986728"/>
      </c:barChart>
      <c:catAx>
        <c:axId val="1398607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l-GR"/>
          </a:p>
        </c:txPr>
        <c:crossAx val="13986728"/>
        <c:crosses val="autoZero"/>
        <c:auto val="1"/>
        <c:lblAlgn val="ctr"/>
        <c:lblOffset val="100"/>
        <c:noMultiLvlLbl val="0"/>
      </c:catAx>
      <c:valAx>
        <c:axId val="13986728"/>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13986072"/>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l-GR"/>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l-G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6.2881910454577569E-2"/>
          <c:y val="4.2297583856416882E-2"/>
          <c:w val="0.92838787254350885"/>
          <c:h val="0.92867220509457804"/>
        </c:manualLayout>
      </c:layout>
      <c:barChart>
        <c:barDir val="col"/>
        <c:grouping val="stacked"/>
        <c:varyColors val="0"/>
        <c:ser>
          <c:idx val="0"/>
          <c:order val="0"/>
          <c:tx>
            <c:strRef>
              <c:f>'[mdglqf.xlsx]g2-5'!$B$29</c:f>
              <c:strCache>
                <c:ptCount val="1"/>
                <c:pt idx="0">
                  <c:v>AUS</c:v>
                </c:pt>
              </c:strCache>
            </c:strRef>
          </c:tx>
          <c:spPr>
            <a:solidFill>
              <a:srgbClr val="5B9BD5">
                <a:lumMod val="40000"/>
                <a:lumOff val="60000"/>
              </a:srgbClr>
            </a:solidFill>
            <a:ln>
              <a:noFill/>
            </a:ln>
            <a:effectLst/>
            <a:extLst>
              <a:ext uri="{91240B29-F687-4F45-9708-019B960494DF}">
                <a14:hiddenLine xmlns:a14="http://schemas.microsoft.com/office/drawing/2010/main">
                  <a:noFill/>
                </a14:hiddenLine>
              </a:ext>
            </a:extLst>
          </c:spPr>
          <c:invertIfNegative val="0"/>
          <c:dLbls>
            <c:spPr>
              <a:noFill/>
              <a:ln w="25400">
                <a:noFill/>
              </a:ln>
            </c:spPr>
            <c:txPr>
              <a:bodyPr wrap="square" lIns="38100" tIns="19050" rIns="38100" bIns="19050" anchor="ctr">
                <a:spAutoFit/>
              </a:bodyPr>
              <a:lstStyle/>
              <a:p>
                <a:pPr>
                  <a:defRPr sz="700">
                    <a:latin typeface="Arial Narrow" panose="020B0606020202030204" pitchFamily="34" charset="0"/>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'[mdglqf.xlsx]g2-5'!$A$30:$A$42</c:f>
              <c:strCache>
                <c:ptCount val="13"/>
                <c:pt idx="0">
                  <c:v>Children &amp; Young People</c:v>
                </c:pt>
                <c:pt idx="1">
                  <c:v>Women</c:v>
                </c:pt>
                <c:pt idx="2">
                  <c:v>Older Adults</c:v>
                </c:pt>
                <c:pt idx="3">
                  <c:v>LGBTQI+</c:v>
                </c:pt>
                <c:pt idx="4">
                  <c:v>Refugees</c:v>
                </c:pt>
                <c:pt idx="5">
                  <c:v>Migrants</c:v>
                </c:pt>
                <c:pt idx="6">
                  <c:v>Homeless People</c:v>
                </c:pt>
                <c:pt idx="7">
                  <c:v>Prison Populations</c:v>
                </c:pt>
                <c:pt idx="8">
                  <c:v>Unemployed People</c:v>
                </c:pt>
                <c:pt idx="9">
                  <c:v>Single parents</c:v>
                </c:pt>
                <c:pt idx="10">
                  <c:v>Young mothers</c:v>
                </c:pt>
                <c:pt idx="11">
                  <c:v>Ethnic Minorities</c:v>
                </c:pt>
                <c:pt idx="12">
                  <c:v>Indigenous Populations</c:v>
                </c:pt>
              </c:strCache>
            </c:strRef>
          </c:cat>
          <c:val>
            <c:numRef>
              <c:f>'[mdglqf.xlsx]g2-5'!$B$30:$B$42</c:f>
              <c:numCache>
                <c:formatCode>General</c:formatCode>
                <c:ptCount val="13"/>
                <c:pt idx="0">
                  <c:v>1</c:v>
                </c:pt>
                <c:pt idx="1">
                  <c:v>1</c:v>
                </c:pt>
                <c:pt idx="3">
                  <c:v>1</c:v>
                </c:pt>
                <c:pt idx="11">
                  <c:v>1</c:v>
                </c:pt>
                <c:pt idx="12">
                  <c:v>1</c:v>
                </c:pt>
              </c:numCache>
            </c:numRef>
          </c:val>
          <c:extLst>
            <c:ext xmlns:c16="http://schemas.microsoft.com/office/drawing/2014/chart" uri="{C3380CC4-5D6E-409C-BE32-E72D297353CC}">
              <c16:uniqueId val="{00000000-D288-4846-8C92-0E741B2459BB}"/>
            </c:ext>
          </c:extLst>
        </c:ser>
        <c:ser>
          <c:idx val="1"/>
          <c:order val="1"/>
          <c:tx>
            <c:strRef>
              <c:f>'[mdglqf.xlsx]g2-5'!$C$29</c:f>
              <c:strCache>
                <c:ptCount val="1"/>
                <c:pt idx="0">
                  <c:v>AUT</c:v>
                </c:pt>
              </c:strCache>
            </c:strRef>
          </c:tx>
          <c:spPr>
            <a:solidFill>
              <a:srgbClr val="5B9BD5">
                <a:lumMod val="40000"/>
                <a:lumOff val="60000"/>
              </a:srgbClr>
            </a:solidFill>
            <a:ln>
              <a:noFill/>
            </a:ln>
            <a:effectLst/>
            <a:extLst>
              <a:ext uri="{91240B29-F687-4F45-9708-019B960494DF}">
                <a14:hiddenLine xmlns:a14="http://schemas.microsoft.com/office/drawing/2010/main">
                  <a:noFill/>
                </a14:hiddenLine>
              </a:ext>
            </a:extLst>
          </c:spPr>
          <c:invertIfNegative val="0"/>
          <c:dLbls>
            <c:spPr>
              <a:noFill/>
              <a:ln w="25400">
                <a:noFill/>
              </a:ln>
            </c:spPr>
            <c:txPr>
              <a:bodyPr wrap="square" lIns="38100" tIns="19050" rIns="38100" bIns="19050" anchor="ctr">
                <a:spAutoFit/>
              </a:bodyPr>
              <a:lstStyle/>
              <a:p>
                <a:pPr>
                  <a:defRPr sz="700">
                    <a:latin typeface="Arial Narrow" panose="020B0606020202030204" pitchFamily="34" charset="0"/>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'[mdglqf.xlsx]g2-5'!$A$30:$A$42</c:f>
              <c:strCache>
                <c:ptCount val="13"/>
                <c:pt idx="0">
                  <c:v>Children &amp; Young People</c:v>
                </c:pt>
                <c:pt idx="1">
                  <c:v>Women</c:v>
                </c:pt>
                <c:pt idx="2">
                  <c:v>Older Adults</c:v>
                </c:pt>
                <c:pt idx="3">
                  <c:v>LGBTQI+</c:v>
                </c:pt>
                <c:pt idx="4">
                  <c:v>Refugees</c:v>
                </c:pt>
                <c:pt idx="5">
                  <c:v>Migrants</c:v>
                </c:pt>
                <c:pt idx="6">
                  <c:v>Homeless People</c:v>
                </c:pt>
                <c:pt idx="7">
                  <c:v>Prison Populations</c:v>
                </c:pt>
                <c:pt idx="8">
                  <c:v>Unemployed People</c:v>
                </c:pt>
                <c:pt idx="9">
                  <c:v>Single parents</c:v>
                </c:pt>
                <c:pt idx="10">
                  <c:v>Young mothers</c:v>
                </c:pt>
                <c:pt idx="11">
                  <c:v>Ethnic Minorities</c:v>
                </c:pt>
                <c:pt idx="12">
                  <c:v>Indigenous Populations</c:v>
                </c:pt>
              </c:strCache>
            </c:strRef>
          </c:cat>
          <c:val>
            <c:numRef>
              <c:f>'[mdglqf.xlsx]g2-5'!$C$30:$C$42</c:f>
              <c:numCache>
                <c:formatCode>General</c:formatCode>
                <c:ptCount val="13"/>
                <c:pt idx="2">
                  <c:v>1</c:v>
                </c:pt>
                <c:pt idx="3">
                  <c:v>1</c:v>
                </c:pt>
                <c:pt idx="4">
                  <c:v>1</c:v>
                </c:pt>
              </c:numCache>
            </c:numRef>
          </c:val>
          <c:extLst>
            <c:ext xmlns:c16="http://schemas.microsoft.com/office/drawing/2014/chart" uri="{C3380CC4-5D6E-409C-BE32-E72D297353CC}">
              <c16:uniqueId val="{00000001-D288-4846-8C92-0E741B2459BB}"/>
            </c:ext>
          </c:extLst>
        </c:ser>
        <c:ser>
          <c:idx val="2"/>
          <c:order val="2"/>
          <c:tx>
            <c:strRef>
              <c:f>'[mdglqf.xlsx]g2-5'!$D$29</c:f>
              <c:strCache>
                <c:ptCount val="1"/>
                <c:pt idx="0">
                  <c:v>BEL</c:v>
                </c:pt>
              </c:strCache>
            </c:strRef>
          </c:tx>
          <c:spPr>
            <a:solidFill>
              <a:srgbClr val="5B9BD5">
                <a:lumMod val="40000"/>
                <a:lumOff val="60000"/>
              </a:srgbClr>
            </a:solidFill>
            <a:ln>
              <a:noFill/>
            </a:ln>
            <a:effectLst/>
            <a:extLst>
              <a:ext uri="{91240B29-F687-4F45-9708-019B960494DF}">
                <a14:hiddenLine xmlns:a14="http://schemas.microsoft.com/office/drawing/2010/main">
                  <a:noFill/>
                </a14:hiddenLine>
              </a:ext>
            </a:extLst>
          </c:spPr>
          <c:invertIfNegative val="0"/>
          <c:dLbls>
            <c:spPr>
              <a:noFill/>
              <a:ln w="25400">
                <a:noFill/>
              </a:ln>
            </c:spPr>
            <c:txPr>
              <a:bodyPr wrap="square" lIns="38100" tIns="19050" rIns="38100" bIns="19050" anchor="ctr">
                <a:spAutoFit/>
              </a:bodyPr>
              <a:lstStyle/>
              <a:p>
                <a:pPr>
                  <a:defRPr sz="700">
                    <a:latin typeface="Arial Narrow" panose="020B0606020202030204" pitchFamily="34" charset="0"/>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'[mdglqf.xlsx]g2-5'!$A$30:$A$42</c:f>
              <c:strCache>
                <c:ptCount val="13"/>
                <c:pt idx="0">
                  <c:v>Children &amp; Young People</c:v>
                </c:pt>
                <c:pt idx="1">
                  <c:v>Women</c:v>
                </c:pt>
                <c:pt idx="2">
                  <c:v>Older Adults</c:v>
                </c:pt>
                <c:pt idx="3">
                  <c:v>LGBTQI+</c:v>
                </c:pt>
                <c:pt idx="4">
                  <c:v>Refugees</c:v>
                </c:pt>
                <c:pt idx="5">
                  <c:v>Migrants</c:v>
                </c:pt>
                <c:pt idx="6">
                  <c:v>Homeless People</c:v>
                </c:pt>
                <c:pt idx="7">
                  <c:v>Prison Populations</c:v>
                </c:pt>
                <c:pt idx="8">
                  <c:v>Unemployed People</c:v>
                </c:pt>
                <c:pt idx="9">
                  <c:v>Single parents</c:v>
                </c:pt>
                <c:pt idx="10">
                  <c:v>Young mothers</c:v>
                </c:pt>
                <c:pt idx="11">
                  <c:v>Ethnic Minorities</c:v>
                </c:pt>
                <c:pt idx="12">
                  <c:v>Indigenous Populations</c:v>
                </c:pt>
              </c:strCache>
            </c:strRef>
          </c:cat>
          <c:val>
            <c:numRef>
              <c:f>'[mdglqf.xlsx]g2-5'!$D$30:$D$42</c:f>
              <c:numCache>
                <c:formatCode>General</c:formatCode>
                <c:ptCount val="13"/>
                <c:pt idx="0">
                  <c:v>1</c:v>
                </c:pt>
                <c:pt idx="2">
                  <c:v>1</c:v>
                </c:pt>
              </c:numCache>
            </c:numRef>
          </c:val>
          <c:extLst>
            <c:ext xmlns:c16="http://schemas.microsoft.com/office/drawing/2014/chart" uri="{C3380CC4-5D6E-409C-BE32-E72D297353CC}">
              <c16:uniqueId val="{00000002-D288-4846-8C92-0E741B2459BB}"/>
            </c:ext>
          </c:extLst>
        </c:ser>
        <c:ser>
          <c:idx val="3"/>
          <c:order val="3"/>
          <c:tx>
            <c:strRef>
              <c:f>'[mdglqf.xlsx]g2-5'!$E$29</c:f>
              <c:strCache>
                <c:ptCount val="1"/>
                <c:pt idx="0">
                  <c:v>CAN</c:v>
                </c:pt>
              </c:strCache>
            </c:strRef>
          </c:tx>
          <c:spPr>
            <a:solidFill>
              <a:srgbClr val="5B9BD5">
                <a:lumMod val="40000"/>
                <a:lumOff val="60000"/>
              </a:srgbClr>
            </a:solidFill>
            <a:ln>
              <a:noFill/>
            </a:ln>
            <a:effectLst/>
            <a:extLst>
              <a:ext uri="{91240B29-F687-4F45-9708-019B960494DF}">
                <a14:hiddenLine xmlns:a14="http://schemas.microsoft.com/office/drawing/2010/main">
                  <a:noFill/>
                </a14:hiddenLine>
              </a:ext>
            </a:extLst>
          </c:spPr>
          <c:invertIfNegative val="0"/>
          <c:dLbls>
            <c:spPr>
              <a:noFill/>
              <a:ln w="25400">
                <a:noFill/>
              </a:ln>
            </c:spPr>
            <c:txPr>
              <a:bodyPr wrap="square" lIns="38100" tIns="19050" rIns="38100" bIns="19050" anchor="ctr">
                <a:spAutoFit/>
              </a:bodyPr>
              <a:lstStyle/>
              <a:p>
                <a:pPr>
                  <a:defRPr sz="700">
                    <a:latin typeface="Arial Narrow" panose="020B0606020202030204" pitchFamily="34" charset="0"/>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'[mdglqf.xlsx]g2-5'!$A$30:$A$42</c:f>
              <c:strCache>
                <c:ptCount val="13"/>
                <c:pt idx="0">
                  <c:v>Children &amp; Young People</c:v>
                </c:pt>
                <c:pt idx="1">
                  <c:v>Women</c:v>
                </c:pt>
                <c:pt idx="2">
                  <c:v>Older Adults</c:v>
                </c:pt>
                <c:pt idx="3">
                  <c:v>LGBTQI+</c:v>
                </c:pt>
                <c:pt idx="4">
                  <c:v>Refugees</c:v>
                </c:pt>
                <c:pt idx="5">
                  <c:v>Migrants</c:v>
                </c:pt>
                <c:pt idx="6">
                  <c:v>Homeless People</c:v>
                </c:pt>
                <c:pt idx="7">
                  <c:v>Prison Populations</c:v>
                </c:pt>
                <c:pt idx="8">
                  <c:v>Unemployed People</c:v>
                </c:pt>
                <c:pt idx="9">
                  <c:v>Single parents</c:v>
                </c:pt>
                <c:pt idx="10">
                  <c:v>Young mothers</c:v>
                </c:pt>
                <c:pt idx="11">
                  <c:v>Ethnic Minorities</c:v>
                </c:pt>
                <c:pt idx="12">
                  <c:v>Indigenous Populations</c:v>
                </c:pt>
              </c:strCache>
            </c:strRef>
          </c:cat>
          <c:val>
            <c:numRef>
              <c:f>'[mdglqf.xlsx]g2-5'!$E$30:$E$42</c:f>
              <c:numCache>
                <c:formatCode>General</c:formatCode>
                <c:ptCount val="13"/>
                <c:pt idx="0">
                  <c:v>1</c:v>
                </c:pt>
                <c:pt idx="1">
                  <c:v>1</c:v>
                </c:pt>
                <c:pt idx="2">
                  <c:v>1</c:v>
                </c:pt>
                <c:pt idx="12">
                  <c:v>1</c:v>
                </c:pt>
              </c:numCache>
            </c:numRef>
          </c:val>
          <c:extLst>
            <c:ext xmlns:c16="http://schemas.microsoft.com/office/drawing/2014/chart" uri="{C3380CC4-5D6E-409C-BE32-E72D297353CC}">
              <c16:uniqueId val="{00000003-D288-4846-8C92-0E741B2459BB}"/>
            </c:ext>
          </c:extLst>
        </c:ser>
        <c:ser>
          <c:idx val="4"/>
          <c:order val="4"/>
          <c:tx>
            <c:strRef>
              <c:f>'[mdglqf.xlsx]g2-5'!$F$29</c:f>
              <c:strCache>
                <c:ptCount val="1"/>
                <c:pt idx="0">
                  <c:v>CHE</c:v>
                </c:pt>
              </c:strCache>
            </c:strRef>
          </c:tx>
          <c:spPr>
            <a:solidFill>
              <a:srgbClr val="5B9BD5">
                <a:lumMod val="40000"/>
                <a:lumOff val="60000"/>
              </a:srgbClr>
            </a:solidFill>
            <a:ln>
              <a:noFill/>
            </a:ln>
            <a:effectLst/>
            <a:extLst>
              <a:ext uri="{91240B29-F687-4F45-9708-019B960494DF}">
                <a14:hiddenLine xmlns:a14="http://schemas.microsoft.com/office/drawing/2010/main">
                  <a:noFill/>
                </a14:hiddenLine>
              </a:ext>
            </a:extLst>
          </c:spPr>
          <c:invertIfNegative val="0"/>
          <c:dLbls>
            <c:spPr>
              <a:noFill/>
              <a:ln w="25400">
                <a:noFill/>
              </a:ln>
            </c:spPr>
            <c:txPr>
              <a:bodyPr wrap="square" lIns="38100" tIns="19050" rIns="38100" bIns="19050" anchor="ctr">
                <a:spAutoFit/>
              </a:bodyPr>
              <a:lstStyle/>
              <a:p>
                <a:pPr>
                  <a:defRPr sz="700">
                    <a:latin typeface="Arial Narrow" panose="020B0606020202030204" pitchFamily="34" charset="0"/>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'[mdglqf.xlsx]g2-5'!$A$30:$A$42</c:f>
              <c:strCache>
                <c:ptCount val="13"/>
                <c:pt idx="0">
                  <c:v>Children &amp; Young People</c:v>
                </c:pt>
                <c:pt idx="1">
                  <c:v>Women</c:v>
                </c:pt>
                <c:pt idx="2">
                  <c:v>Older Adults</c:v>
                </c:pt>
                <c:pt idx="3">
                  <c:v>LGBTQI+</c:v>
                </c:pt>
                <c:pt idx="4">
                  <c:v>Refugees</c:v>
                </c:pt>
                <c:pt idx="5">
                  <c:v>Migrants</c:v>
                </c:pt>
                <c:pt idx="6">
                  <c:v>Homeless People</c:v>
                </c:pt>
                <c:pt idx="7">
                  <c:v>Prison Populations</c:v>
                </c:pt>
                <c:pt idx="8">
                  <c:v>Unemployed People</c:v>
                </c:pt>
                <c:pt idx="9">
                  <c:v>Single parents</c:v>
                </c:pt>
                <c:pt idx="10">
                  <c:v>Young mothers</c:v>
                </c:pt>
                <c:pt idx="11">
                  <c:v>Ethnic Minorities</c:v>
                </c:pt>
                <c:pt idx="12">
                  <c:v>Indigenous Populations</c:v>
                </c:pt>
              </c:strCache>
            </c:strRef>
          </c:cat>
          <c:val>
            <c:numRef>
              <c:f>'[mdglqf.xlsx]g2-5'!$F$30:$F$42</c:f>
              <c:numCache>
                <c:formatCode>General</c:formatCode>
                <c:ptCount val="13"/>
                <c:pt idx="0">
                  <c:v>1</c:v>
                </c:pt>
                <c:pt idx="2">
                  <c:v>1</c:v>
                </c:pt>
                <c:pt idx="3">
                  <c:v>1</c:v>
                </c:pt>
                <c:pt idx="5">
                  <c:v>1</c:v>
                </c:pt>
              </c:numCache>
            </c:numRef>
          </c:val>
          <c:extLst>
            <c:ext xmlns:c16="http://schemas.microsoft.com/office/drawing/2014/chart" uri="{C3380CC4-5D6E-409C-BE32-E72D297353CC}">
              <c16:uniqueId val="{00000004-D288-4846-8C92-0E741B2459BB}"/>
            </c:ext>
          </c:extLst>
        </c:ser>
        <c:ser>
          <c:idx val="5"/>
          <c:order val="5"/>
          <c:tx>
            <c:strRef>
              <c:f>'[mdglqf.xlsx]g2-5'!$G$29</c:f>
              <c:strCache>
                <c:ptCount val="1"/>
                <c:pt idx="0">
                  <c:v>CZE</c:v>
                </c:pt>
              </c:strCache>
            </c:strRef>
          </c:tx>
          <c:spPr>
            <a:solidFill>
              <a:srgbClr val="5B9BD5">
                <a:lumMod val="40000"/>
                <a:lumOff val="60000"/>
              </a:srgbClr>
            </a:solidFill>
            <a:ln>
              <a:noFill/>
            </a:ln>
            <a:effectLst/>
            <a:extLst>
              <a:ext uri="{91240B29-F687-4F45-9708-019B960494DF}">
                <a14:hiddenLine xmlns:a14="http://schemas.microsoft.com/office/drawing/2010/main">
                  <a:noFill/>
                </a14:hiddenLine>
              </a:ext>
            </a:extLst>
          </c:spPr>
          <c:invertIfNegative val="0"/>
          <c:dLbls>
            <c:spPr>
              <a:noFill/>
              <a:ln w="25400">
                <a:noFill/>
              </a:ln>
            </c:spPr>
            <c:txPr>
              <a:bodyPr wrap="square" lIns="38100" tIns="19050" rIns="38100" bIns="19050" anchor="ctr">
                <a:spAutoFit/>
              </a:bodyPr>
              <a:lstStyle/>
              <a:p>
                <a:pPr>
                  <a:defRPr sz="700">
                    <a:latin typeface="Arial Narrow" panose="020B0606020202030204" pitchFamily="34" charset="0"/>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'[mdglqf.xlsx]g2-5'!$A$30:$A$42</c:f>
              <c:strCache>
                <c:ptCount val="13"/>
                <c:pt idx="0">
                  <c:v>Children &amp; Young People</c:v>
                </c:pt>
                <c:pt idx="1">
                  <c:v>Women</c:v>
                </c:pt>
                <c:pt idx="2">
                  <c:v>Older Adults</c:v>
                </c:pt>
                <c:pt idx="3">
                  <c:v>LGBTQI+</c:v>
                </c:pt>
                <c:pt idx="4">
                  <c:v>Refugees</c:v>
                </c:pt>
                <c:pt idx="5">
                  <c:v>Migrants</c:v>
                </c:pt>
                <c:pt idx="6">
                  <c:v>Homeless People</c:v>
                </c:pt>
                <c:pt idx="7">
                  <c:v>Prison Populations</c:v>
                </c:pt>
                <c:pt idx="8">
                  <c:v>Unemployed People</c:v>
                </c:pt>
                <c:pt idx="9">
                  <c:v>Single parents</c:v>
                </c:pt>
                <c:pt idx="10">
                  <c:v>Young mothers</c:v>
                </c:pt>
                <c:pt idx="11">
                  <c:v>Ethnic Minorities</c:v>
                </c:pt>
                <c:pt idx="12">
                  <c:v>Indigenous Populations</c:v>
                </c:pt>
              </c:strCache>
            </c:strRef>
          </c:cat>
          <c:val>
            <c:numRef>
              <c:f>'[mdglqf.xlsx]g2-5'!$G$30:$G$42</c:f>
              <c:numCache>
                <c:formatCode>General</c:formatCode>
                <c:ptCount val="13"/>
                <c:pt idx="0">
                  <c:v>1</c:v>
                </c:pt>
                <c:pt idx="1">
                  <c:v>1</c:v>
                </c:pt>
              </c:numCache>
            </c:numRef>
          </c:val>
          <c:extLst>
            <c:ext xmlns:c16="http://schemas.microsoft.com/office/drawing/2014/chart" uri="{C3380CC4-5D6E-409C-BE32-E72D297353CC}">
              <c16:uniqueId val="{00000005-D288-4846-8C92-0E741B2459BB}"/>
            </c:ext>
          </c:extLst>
        </c:ser>
        <c:ser>
          <c:idx val="6"/>
          <c:order val="6"/>
          <c:tx>
            <c:strRef>
              <c:f>'[mdglqf.xlsx]g2-5'!$H$29</c:f>
              <c:strCache>
                <c:ptCount val="1"/>
                <c:pt idx="0">
                  <c:v>DNK</c:v>
                </c:pt>
              </c:strCache>
            </c:strRef>
          </c:tx>
          <c:spPr>
            <a:solidFill>
              <a:srgbClr val="5B9BD5">
                <a:lumMod val="40000"/>
                <a:lumOff val="60000"/>
              </a:srgbClr>
            </a:solidFill>
            <a:ln>
              <a:noFill/>
            </a:ln>
            <a:effectLst/>
            <a:extLst>
              <a:ext uri="{91240B29-F687-4F45-9708-019B960494DF}">
                <a14:hiddenLine xmlns:a14="http://schemas.microsoft.com/office/drawing/2010/main">
                  <a:noFill/>
                </a14:hiddenLine>
              </a:ext>
            </a:extLst>
          </c:spPr>
          <c:invertIfNegative val="0"/>
          <c:dLbls>
            <c:spPr>
              <a:noFill/>
              <a:ln w="25400">
                <a:noFill/>
              </a:ln>
            </c:spPr>
            <c:txPr>
              <a:bodyPr wrap="square" lIns="38100" tIns="19050" rIns="38100" bIns="19050" anchor="ctr">
                <a:spAutoFit/>
              </a:bodyPr>
              <a:lstStyle/>
              <a:p>
                <a:pPr>
                  <a:defRPr sz="700">
                    <a:latin typeface="Arial Narrow" panose="020B0606020202030204" pitchFamily="34" charset="0"/>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'[mdglqf.xlsx]g2-5'!$A$30:$A$42</c:f>
              <c:strCache>
                <c:ptCount val="13"/>
                <c:pt idx="0">
                  <c:v>Children &amp; Young People</c:v>
                </c:pt>
                <c:pt idx="1">
                  <c:v>Women</c:v>
                </c:pt>
                <c:pt idx="2">
                  <c:v>Older Adults</c:v>
                </c:pt>
                <c:pt idx="3">
                  <c:v>LGBTQI+</c:v>
                </c:pt>
                <c:pt idx="4">
                  <c:v>Refugees</c:v>
                </c:pt>
                <c:pt idx="5">
                  <c:v>Migrants</c:v>
                </c:pt>
                <c:pt idx="6">
                  <c:v>Homeless People</c:v>
                </c:pt>
                <c:pt idx="7">
                  <c:v>Prison Populations</c:v>
                </c:pt>
                <c:pt idx="8">
                  <c:v>Unemployed People</c:v>
                </c:pt>
                <c:pt idx="9">
                  <c:v>Single parents</c:v>
                </c:pt>
                <c:pt idx="10">
                  <c:v>Young mothers</c:v>
                </c:pt>
                <c:pt idx="11">
                  <c:v>Ethnic Minorities</c:v>
                </c:pt>
                <c:pt idx="12">
                  <c:v>Indigenous Populations</c:v>
                </c:pt>
              </c:strCache>
            </c:strRef>
          </c:cat>
          <c:val>
            <c:numRef>
              <c:f>'[mdglqf.xlsx]g2-5'!$H$30:$H$42</c:f>
              <c:numCache>
                <c:formatCode>General</c:formatCode>
                <c:ptCount val="13"/>
                <c:pt idx="0">
                  <c:v>1</c:v>
                </c:pt>
              </c:numCache>
            </c:numRef>
          </c:val>
          <c:extLst>
            <c:ext xmlns:c16="http://schemas.microsoft.com/office/drawing/2014/chart" uri="{C3380CC4-5D6E-409C-BE32-E72D297353CC}">
              <c16:uniqueId val="{00000006-D288-4846-8C92-0E741B2459BB}"/>
            </c:ext>
          </c:extLst>
        </c:ser>
        <c:ser>
          <c:idx val="7"/>
          <c:order val="7"/>
          <c:tx>
            <c:strRef>
              <c:f>'[mdglqf.xlsx]g2-5'!$I$29</c:f>
              <c:strCache>
                <c:ptCount val="1"/>
                <c:pt idx="0">
                  <c:v>GBR</c:v>
                </c:pt>
              </c:strCache>
            </c:strRef>
          </c:tx>
          <c:spPr>
            <a:solidFill>
              <a:srgbClr val="5B9BD5">
                <a:lumMod val="40000"/>
                <a:lumOff val="60000"/>
              </a:srgbClr>
            </a:solidFill>
            <a:ln>
              <a:noFill/>
            </a:ln>
            <a:effectLst/>
            <a:extLst>
              <a:ext uri="{91240B29-F687-4F45-9708-019B960494DF}">
                <a14:hiddenLine xmlns:a14="http://schemas.microsoft.com/office/drawing/2010/main">
                  <a:noFill/>
                </a14:hiddenLine>
              </a:ext>
            </a:extLst>
          </c:spPr>
          <c:invertIfNegative val="0"/>
          <c:dLbls>
            <c:spPr>
              <a:noFill/>
              <a:ln w="25400">
                <a:noFill/>
              </a:ln>
            </c:spPr>
            <c:txPr>
              <a:bodyPr wrap="square" lIns="38100" tIns="19050" rIns="38100" bIns="19050" anchor="ctr">
                <a:spAutoFit/>
              </a:bodyPr>
              <a:lstStyle/>
              <a:p>
                <a:pPr>
                  <a:defRPr sz="700">
                    <a:latin typeface="Arial Narrow" panose="020B0606020202030204" pitchFamily="34" charset="0"/>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'[mdglqf.xlsx]g2-5'!$A$30:$A$42</c:f>
              <c:strCache>
                <c:ptCount val="13"/>
                <c:pt idx="0">
                  <c:v>Children &amp; Young People</c:v>
                </c:pt>
                <c:pt idx="1">
                  <c:v>Women</c:v>
                </c:pt>
                <c:pt idx="2">
                  <c:v>Older Adults</c:v>
                </c:pt>
                <c:pt idx="3">
                  <c:v>LGBTQI+</c:v>
                </c:pt>
                <c:pt idx="4">
                  <c:v>Refugees</c:v>
                </c:pt>
                <c:pt idx="5">
                  <c:v>Migrants</c:v>
                </c:pt>
                <c:pt idx="6">
                  <c:v>Homeless People</c:v>
                </c:pt>
                <c:pt idx="7">
                  <c:v>Prison Populations</c:v>
                </c:pt>
                <c:pt idx="8">
                  <c:v>Unemployed People</c:v>
                </c:pt>
                <c:pt idx="9">
                  <c:v>Single parents</c:v>
                </c:pt>
                <c:pt idx="10">
                  <c:v>Young mothers</c:v>
                </c:pt>
                <c:pt idx="11">
                  <c:v>Ethnic Minorities</c:v>
                </c:pt>
                <c:pt idx="12">
                  <c:v>Indigenous Populations</c:v>
                </c:pt>
              </c:strCache>
            </c:strRef>
          </c:cat>
          <c:val>
            <c:numRef>
              <c:f>'[mdglqf.xlsx]g2-5'!$I$30:$I$42</c:f>
              <c:numCache>
                <c:formatCode>General</c:formatCode>
                <c:ptCount val="13"/>
                <c:pt idx="0">
                  <c:v>1</c:v>
                </c:pt>
                <c:pt idx="1">
                  <c:v>1</c:v>
                </c:pt>
                <c:pt idx="2">
                  <c:v>1</c:v>
                </c:pt>
                <c:pt idx="3">
                  <c:v>1</c:v>
                </c:pt>
                <c:pt idx="5">
                  <c:v>1</c:v>
                </c:pt>
              </c:numCache>
            </c:numRef>
          </c:val>
          <c:extLst>
            <c:ext xmlns:c16="http://schemas.microsoft.com/office/drawing/2014/chart" uri="{C3380CC4-5D6E-409C-BE32-E72D297353CC}">
              <c16:uniqueId val="{00000007-D288-4846-8C92-0E741B2459BB}"/>
            </c:ext>
          </c:extLst>
        </c:ser>
        <c:ser>
          <c:idx val="8"/>
          <c:order val="8"/>
          <c:tx>
            <c:strRef>
              <c:f>'[mdglqf.xlsx]g2-5'!$J$29</c:f>
              <c:strCache>
                <c:ptCount val="1"/>
                <c:pt idx="0">
                  <c:v>GRC</c:v>
                </c:pt>
              </c:strCache>
            </c:strRef>
          </c:tx>
          <c:spPr>
            <a:solidFill>
              <a:srgbClr val="5B9BD5">
                <a:lumMod val="40000"/>
                <a:lumOff val="60000"/>
              </a:srgbClr>
            </a:solidFill>
            <a:ln>
              <a:noFill/>
            </a:ln>
            <a:effectLst/>
            <a:extLst>
              <a:ext uri="{91240B29-F687-4F45-9708-019B960494DF}">
                <a14:hiddenLine xmlns:a14="http://schemas.microsoft.com/office/drawing/2010/main">
                  <a:noFill/>
                </a14:hiddenLine>
              </a:ext>
            </a:extLst>
          </c:spPr>
          <c:invertIfNegative val="0"/>
          <c:dLbls>
            <c:dLbl>
              <c:idx val="0"/>
              <c:tx>
                <c:rich>
                  <a:bodyPr wrap="square" lIns="38100" tIns="19050" rIns="38100" bIns="19050" anchor="ctr">
                    <a:spAutoFit/>
                  </a:bodyPr>
                  <a:lstStyle/>
                  <a:p>
                    <a:pPr>
                      <a:defRPr sz="800">
                        <a:latin typeface="Arial Narrow" panose="020B0606020202030204" pitchFamily="34" charset="0"/>
                      </a:defRPr>
                    </a:pPr>
                    <a:fld id="{B99330B0-6C98-406D-A52A-B8CBC1B9BE48}" type="SERIESNAME">
                      <a:rPr lang="en-US" sz="800" b="1"/>
                      <a:pPr>
                        <a:defRPr sz="800">
                          <a:latin typeface="Arial Narrow" panose="020B0606020202030204" pitchFamily="34" charset="0"/>
                        </a:defRPr>
                      </a:pPr>
                      <a:t>[ΟΝΟΜΑ ΣΕΙΡΑΣ]</a:t>
                    </a:fld>
                    <a:endParaRPr lang="el-GR"/>
                  </a:p>
                </c:rich>
              </c:tx>
              <c:spPr>
                <a:noFill/>
                <a:ln w="25400">
                  <a:noFill/>
                </a:ln>
              </c:spPr>
              <c:dLblPos val="ctr"/>
              <c:showLegendKey val="0"/>
              <c:showVal val="0"/>
              <c:showCatName val="0"/>
              <c:showSerName val="1"/>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8-D288-4846-8C92-0E741B2459BB}"/>
                </c:ext>
              </c:extLst>
            </c:dLbl>
            <c:spPr>
              <a:noFill/>
              <a:ln w="25400">
                <a:noFill/>
              </a:ln>
            </c:spPr>
            <c:txPr>
              <a:bodyPr wrap="square" lIns="38100" tIns="19050" rIns="38100" bIns="19050" anchor="ctr">
                <a:spAutoFit/>
              </a:bodyPr>
              <a:lstStyle/>
              <a:p>
                <a:pPr>
                  <a:defRPr sz="700">
                    <a:latin typeface="Arial Narrow" panose="020B0606020202030204" pitchFamily="34" charset="0"/>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'[mdglqf.xlsx]g2-5'!$A$30:$A$42</c:f>
              <c:strCache>
                <c:ptCount val="13"/>
                <c:pt idx="0">
                  <c:v>Children &amp; Young People</c:v>
                </c:pt>
                <c:pt idx="1">
                  <c:v>Women</c:v>
                </c:pt>
                <c:pt idx="2">
                  <c:v>Older Adults</c:v>
                </c:pt>
                <c:pt idx="3">
                  <c:v>LGBTQI+</c:v>
                </c:pt>
                <c:pt idx="4">
                  <c:v>Refugees</c:v>
                </c:pt>
                <c:pt idx="5">
                  <c:v>Migrants</c:v>
                </c:pt>
                <c:pt idx="6">
                  <c:v>Homeless People</c:v>
                </c:pt>
                <c:pt idx="7">
                  <c:v>Prison Populations</c:v>
                </c:pt>
                <c:pt idx="8">
                  <c:v>Unemployed People</c:v>
                </c:pt>
                <c:pt idx="9">
                  <c:v>Single parents</c:v>
                </c:pt>
                <c:pt idx="10">
                  <c:v>Young mothers</c:v>
                </c:pt>
                <c:pt idx="11">
                  <c:v>Ethnic Minorities</c:v>
                </c:pt>
                <c:pt idx="12">
                  <c:v>Indigenous Populations</c:v>
                </c:pt>
              </c:strCache>
            </c:strRef>
          </c:cat>
          <c:val>
            <c:numRef>
              <c:f>'[mdglqf.xlsx]g2-5'!$J$30:$J$42</c:f>
              <c:numCache>
                <c:formatCode>General</c:formatCode>
                <c:ptCount val="13"/>
                <c:pt idx="0">
                  <c:v>1</c:v>
                </c:pt>
              </c:numCache>
            </c:numRef>
          </c:val>
          <c:extLst>
            <c:ext xmlns:c16="http://schemas.microsoft.com/office/drawing/2014/chart" uri="{C3380CC4-5D6E-409C-BE32-E72D297353CC}">
              <c16:uniqueId val="{00000009-D288-4846-8C92-0E741B2459BB}"/>
            </c:ext>
          </c:extLst>
        </c:ser>
        <c:ser>
          <c:idx val="9"/>
          <c:order val="9"/>
          <c:tx>
            <c:strRef>
              <c:f>'[mdglqf.xlsx]g2-5'!$K$29</c:f>
              <c:strCache>
                <c:ptCount val="1"/>
                <c:pt idx="0">
                  <c:v>ISL</c:v>
                </c:pt>
              </c:strCache>
            </c:strRef>
          </c:tx>
          <c:spPr>
            <a:solidFill>
              <a:srgbClr val="5B9BD5">
                <a:lumMod val="40000"/>
                <a:lumOff val="60000"/>
              </a:srgbClr>
            </a:solidFill>
            <a:ln>
              <a:noFill/>
            </a:ln>
            <a:effectLst/>
            <a:extLst>
              <a:ext uri="{91240B29-F687-4F45-9708-019B960494DF}">
                <a14:hiddenLine xmlns:a14="http://schemas.microsoft.com/office/drawing/2010/main">
                  <a:noFill/>
                </a14:hiddenLine>
              </a:ext>
            </a:extLst>
          </c:spPr>
          <c:invertIfNegative val="0"/>
          <c:dLbls>
            <c:spPr>
              <a:noFill/>
              <a:ln w="25400">
                <a:noFill/>
              </a:ln>
            </c:spPr>
            <c:txPr>
              <a:bodyPr wrap="square" lIns="38100" tIns="19050" rIns="38100" bIns="19050" anchor="ctr">
                <a:spAutoFit/>
              </a:bodyPr>
              <a:lstStyle/>
              <a:p>
                <a:pPr>
                  <a:defRPr sz="700">
                    <a:latin typeface="Arial Narrow" panose="020B0606020202030204" pitchFamily="34" charset="0"/>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'[mdglqf.xlsx]g2-5'!$A$30:$A$42</c:f>
              <c:strCache>
                <c:ptCount val="13"/>
                <c:pt idx="0">
                  <c:v>Children &amp; Young People</c:v>
                </c:pt>
                <c:pt idx="1">
                  <c:v>Women</c:v>
                </c:pt>
                <c:pt idx="2">
                  <c:v>Older Adults</c:v>
                </c:pt>
                <c:pt idx="3">
                  <c:v>LGBTQI+</c:v>
                </c:pt>
                <c:pt idx="4">
                  <c:v>Refugees</c:v>
                </c:pt>
                <c:pt idx="5">
                  <c:v>Migrants</c:v>
                </c:pt>
                <c:pt idx="6">
                  <c:v>Homeless People</c:v>
                </c:pt>
                <c:pt idx="7">
                  <c:v>Prison Populations</c:v>
                </c:pt>
                <c:pt idx="8">
                  <c:v>Unemployed People</c:v>
                </c:pt>
                <c:pt idx="9">
                  <c:v>Single parents</c:v>
                </c:pt>
                <c:pt idx="10">
                  <c:v>Young mothers</c:v>
                </c:pt>
                <c:pt idx="11">
                  <c:v>Ethnic Minorities</c:v>
                </c:pt>
                <c:pt idx="12">
                  <c:v>Indigenous Populations</c:v>
                </c:pt>
              </c:strCache>
            </c:strRef>
          </c:cat>
          <c:val>
            <c:numRef>
              <c:f>'[mdglqf.xlsx]g2-5'!$K$30:$K$42</c:f>
              <c:numCache>
                <c:formatCode>General</c:formatCode>
                <c:ptCount val="13"/>
                <c:pt idx="0">
                  <c:v>1</c:v>
                </c:pt>
                <c:pt idx="3">
                  <c:v>1</c:v>
                </c:pt>
                <c:pt idx="6">
                  <c:v>1</c:v>
                </c:pt>
              </c:numCache>
            </c:numRef>
          </c:val>
          <c:extLst>
            <c:ext xmlns:c16="http://schemas.microsoft.com/office/drawing/2014/chart" uri="{C3380CC4-5D6E-409C-BE32-E72D297353CC}">
              <c16:uniqueId val="{0000000A-D288-4846-8C92-0E741B2459BB}"/>
            </c:ext>
          </c:extLst>
        </c:ser>
        <c:ser>
          <c:idx val="10"/>
          <c:order val="10"/>
          <c:tx>
            <c:strRef>
              <c:f>'[mdglqf.xlsx]g2-5'!$L$29</c:f>
              <c:strCache>
                <c:ptCount val="1"/>
                <c:pt idx="0">
                  <c:v>IRL</c:v>
                </c:pt>
              </c:strCache>
            </c:strRef>
          </c:tx>
          <c:spPr>
            <a:solidFill>
              <a:srgbClr val="5B9BD5">
                <a:lumMod val="40000"/>
                <a:lumOff val="60000"/>
              </a:srgbClr>
            </a:solidFill>
            <a:ln>
              <a:noFill/>
            </a:ln>
            <a:effectLst/>
            <a:extLst>
              <a:ext uri="{91240B29-F687-4F45-9708-019B960494DF}">
                <a14:hiddenLine xmlns:a14="http://schemas.microsoft.com/office/drawing/2010/main">
                  <a:noFill/>
                </a14:hiddenLine>
              </a:ext>
            </a:extLst>
          </c:spPr>
          <c:invertIfNegative val="0"/>
          <c:dLbls>
            <c:spPr>
              <a:noFill/>
              <a:ln w="25400">
                <a:noFill/>
              </a:ln>
            </c:spPr>
            <c:txPr>
              <a:bodyPr wrap="square" lIns="38100" tIns="19050" rIns="38100" bIns="19050" anchor="ctr">
                <a:spAutoFit/>
              </a:bodyPr>
              <a:lstStyle/>
              <a:p>
                <a:pPr>
                  <a:defRPr sz="700">
                    <a:latin typeface="Arial Narrow" panose="020B0606020202030204" pitchFamily="34" charset="0"/>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'[mdglqf.xlsx]g2-5'!$A$30:$A$42</c:f>
              <c:strCache>
                <c:ptCount val="13"/>
                <c:pt idx="0">
                  <c:v>Children &amp; Young People</c:v>
                </c:pt>
                <c:pt idx="1">
                  <c:v>Women</c:v>
                </c:pt>
                <c:pt idx="2">
                  <c:v>Older Adults</c:v>
                </c:pt>
                <c:pt idx="3">
                  <c:v>LGBTQI+</c:v>
                </c:pt>
                <c:pt idx="4">
                  <c:v>Refugees</c:v>
                </c:pt>
                <c:pt idx="5">
                  <c:v>Migrants</c:v>
                </c:pt>
                <c:pt idx="6">
                  <c:v>Homeless People</c:v>
                </c:pt>
                <c:pt idx="7">
                  <c:v>Prison Populations</c:v>
                </c:pt>
                <c:pt idx="8">
                  <c:v>Unemployed People</c:v>
                </c:pt>
                <c:pt idx="9">
                  <c:v>Single parents</c:v>
                </c:pt>
                <c:pt idx="10">
                  <c:v>Young mothers</c:v>
                </c:pt>
                <c:pt idx="11">
                  <c:v>Ethnic Minorities</c:v>
                </c:pt>
                <c:pt idx="12">
                  <c:v>Indigenous Populations</c:v>
                </c:pt>
              </c:strCache>
            </c:strRef>
          </c:cat>
          <c:val>
            <c:numRef>
              <c:f>'[mdglqf.xlsx]g2-5'!$L$30:$L$42</c:f>
              <c:numCache>
                <c:formatCode>General</c:formatCode>
                <c:ptCount val="13"/>
                <c:pt idx="0">
                  <c:v>1</c:v>
                </c:pt>
              </c:numCache>
            </c:numRef>
          </c:val>
          <c:extLst>
            <c:ext xmlns:c16="http://schemas.microsoft.com/office/drawing/2014/chart" uri="{C3380CC4-5D6E-409C-BE32-E72D297353CC}">
              <c16:uniqueId val="{0000000B-D288-4846-8C92-0E741B2459BB}"/>
            </c:ext>
          </c:extLst>
        </c:ser>
        <c:ser>
          <c:idx val="11"/>
          <c:order val="11"/>
          <c:tx>
            <c:strRef>
              <c:f>'[mdglqf.xlsx]g2-5'!$M$29</c:f>
              <c:strCache>
                <c:ptCount val="1"/>
                <c:pt idx="0">
                  <c:v>ITA</c:v>
                </c:pt>
              </c:strCache>
            </c:strRef>
          </c:tx>
          <c:spPr>
            <a:solidFill>
              <a:srgbClr val="5B9BD5">
                <a:lumMod val="40000"/>
                <a:lumOff val="60000"/>
              </a:srgbClr>
            </a:solidFill>
            <a:ln>
              <a:noFill/>
            </a:ln>
            <a:effectLst/>
            <a:extLst>
              <a:ext uri="{91240B29-F687-4F45-9708-019B960494DF}">
                <a14:hiddenLine xmlns:a14="http://schemas.microsoft.com/office/drawing/2010/main">
                  <a:noFill/>
                </a14:hiddenLine>
              </a:ext>
            </a:extLst>
          </c:spPr>
          <c:invertIfNegative val="0"/>
          <c:dLbls>
            <c:spPr>
              <a:noFill/>
              <a:ln w="25400">
                <a:noFill/>
              </a:ln>
            </c:spPr>
            <c:txPr>
              <a:bodyPr wrap="square" lIns="38100" tIns="19050" rIns="38100" bIns="19050" anchor="ctr">
                <a:spAutoFit/>
              </a:bodyPr>
              <a:lstStyle/>
              <a:p>
                <a:pPr>
                  <a:defRPr sz="700">
                    <a:latin typeface="Arial Narrow" panose="020B0606020202030204" pitchFamily="34" charset="0"/>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'[mdglqf.xlsx]g2-5'!$A$30:$A$42</c:f>
              <c:strCache>
                <c:ptCount val="13"/>
                <c:pt idx="0">
                  <c:v>Children &amp; Young People</c:v>
                </c:pt>
                <c:pt idx="1">
                  <c:v>Women</c:v>
                </c:pt>
                <c:pt idx="2">
                  <c:v>Older Adults</c:v>
                </c:pt>
                <c:pt idx="3">
                  <c:v>LGBTQI+</c:v>
                </c:pt>
                <c:pt idx="4">
                  <c:v>Refugees</c:v>
                </c:pt>
                <c:pt idx="5">
                  <c:v>Migrants</c:v>
                </c:pt>
                <c:pt idx="6">
                  <c:v>Homeless People</c:v>
                </c:pt>
                <c:pt idx="7">
                  <c:v>Prison Populations</c:v>
                </c:pt>
                <c:pt idx="8">
                  <c:v>Unemployed People</c:v>
                </c:pt>
                <c:pt idx="9">
                  <c:v>Single parents</c:v>
                </c:pt>
                <c:pt idx="10">
                  <c:v>Young mothers</c:v>
                </c:pt>
                <c:pt idx="11">
                  <c:v>Ethnic Minorities</c:v>
                </c:pt>
                <c:pt idx="12">
                  <c:v>Indigenous Populations</c:v>
                </c:pt>
              </c:strCache>
            </c:strRef>
          </c:cat>
          <c:val>
            <c:numRef>
              <c:f>'[mdglqf.xlsx]g2-5'!$M$30:$M$42</c:f>
              <c:numCache>
                <c:formatCode>General</c:formatCode>
                <c:ptCount val="13"/>
                <c:pt idx="0">
                  <c:v>1</c:v>
                </c:pt>
              </c:numCache>
            </c:numRef>
          </c:val>
          <c:extLst>
            <c:ext xmlns:c16="http://schemas.microsoft.com/office/drawing/2014/chart" uri="{C3380CC4-5D6E-409C-BE32-E72D297353CC}">
              <c16:uniqueId val="{0000000C-D288-4846-8C92-0E741B2459BB}"/>
            </c:ext>
          </c:extLst>
        </c:ser>
        <c:ser>
          <c:idx val="12"/>
          <c:order val="12"/>
          <c:tx>
            <c:strRef>
              <c:f>'[mdglqf.xlsx]g2-5'!$N$29</c:f>
              <c:strCache>
                <c:ptCount val="1"/>
                <c:pt idx="0">
                  <c:v>KOR</c:v>
                </c:pt>
              </c:strCache>
            </c:strRef>
          </c:tx>
          <c:spPr>
            <a:solidFill>
              <a:srgbClr val="5B9BD5">
                <a:lumMod val="40000"/>
                <a:lumOff val="60000"/>
              </a:srgbClr>
            </a:solidFill>
            <a:ln>
              <a:noFill/>
            </a:ln>
            <a:effectLst/>
            <a:extLst>
              <a:ext uri="{91240B29-F687-4F45-9708-019B960494DF}">
                <a14:hiddenLine xmlns:a14="http://schemas.microsoft.com/office/drawing/2010/main">
                  <a:noFill/>
                </a14:hiddenLine>
              </a:ext>
            </a:extLst>
          </c:spPr>
          <c:invertIfNegative val="0"/>
          <c:dLbls>
            <c:spPr>
              <a:noFill/>
              <a:ln w="25400">
                <a:noFill/>
              </a:ln>
            </c:spPr>
            <c:txPr>
              <a:bodyPr wrap="square" lIns="38100" tIns="19050" rIns="38100" bIns="19050" anchor="ctr">
                <a:spAutoFit/>
              </a:bodyPr>
              <a:lstStyle/>
              <a:p>
                <a:pPr>
                  <a:defRPr sz="700">
                    <a:latin typeface="Arial Narrow" panose="020B0606020202030204" pitchFamily="34" charset="0"/>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'[mdglqf.xlsx]g2-5'!$A$30:$A$42</c:f>
              <c:strCache>
                <c:ptCount val="13"/>
                <c:pt idx="0">
                  <c:v>Children &amp; Young People</c:v>
                </c:pt>
                <c:pt idx="1">
                  <c:v>Women</c:v>
                </c:pt>
                <c:pt idx="2">
                  <c:v>Older Adults</c:v>
                </c:pt>
                <c:pt idx="3">
                  <c:v>LGBTQI+</c:v>
                </c:pt>
                <c:pt idx="4">
                  <c:v>Refugees</c:v>
                </c:pt>
                <c:pt idx="5">
                  <c:v>Migrants</c:v>
                </c:pt>
                <c:pt idx="6">
                  <c:v>Homeless People</c:v>
                </c:pt>
                <c:pt idx="7">
                  <c:v>Prison Populations</c:v>
                </c:pt>
                <c:pt idx="8">
                  <c:v>Unemployed People</c:v>
                </c:pt>
                <c:pt idx="9">
                  <c:v>Single parents</c:v>
                </c:pt>
                <c:pt idx="10">
                  <c:v>Young mothers</c:v>
                </c:pt>
                <c:pt idx="11">
                  <c:v>Ethnic Minorities</c:v>
                </c:pt>
                <c:pt idx="12">
                  <c:v>Indigenous Populations</c:v>
                </c:pt>
              </c:strCache>
            </c:strRef>
          </c:cat>
          <c:val>
            <c:numRef>
              <c:f>'[mdglqf.xlsx]g2-5'!$N$30:$N$42</c:f>
              <c:numCache>
                <c:formatCode>General</c:formatCode>
                <c:ptCount val="13"/>
                <c:pt idx="0">
                  <c:v>1</c:v>
                </c:pt>
                <c:pt idx="2">
                  <c:v>1</c:v>
                </c:pt>
                <c:pt idx="4">
                  <c:v>1</c:v>
                </c:pt>
                <c:pt idx="6">
                  <c:v>1</c:v>
                </c:pt>
                <c:pt idx="7">
                  <c:v>1</c:v>
                </c:pt>
                <c:pt idx="8">
                  <c:v>1</c:v>
                </c:pt>
                <c:pt idx="9">
                  <c:v>1</c:v>
                </c:pt>
              </c:numCache>
            </c:numRef>
          </c:val>
          <c:extLst>
            <c:ext xmlns:c16="http://schemas.microsoft.com/office/drawing/2014/chart" uri="{C3380CC4-5D6E-409C-BE32-E72D297353CC}">
              <c16:uniqueId val="{0000000D-D288-4846-8C92-0E741B2459BB}"/>
            </c:ext>
          </c:extLst>
        </c:ser>
        <c:ser>
          <c:idx val="13"/>
          <c:order val="13"/>
          <c:tx>
            <c:strRef>
              <c:f>'[mdglqf.xlsx]g2-5'!$O$29</c:f>
              <c:strCache>
                <c:ptCount val="1"/>
                <c:pt idx="0">
                  <c:v>LVA</c:v>
                </c:pt>
              </c:strCache>
            </c:strRef>
          </c:tx>
          <c:spPr>
            <a:solidFill>
              <a:srgbClr val="5B9BD5">
                <a:lumMod val="40000"/>
                <a:lumOff val="60000"/>
              </a:srgbClr>
            </a:solidFill>
          </c:spPr>
          <c:invertIfNegative val="0"/>
          <c:dLbls>
            <c:dLbl>
              <c:idx val="0"/>
              <c:dLblPos val="ctr"/>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0E-D288-4846-8C92-0E741B2459BB}"/>
                </c:ext>
              </c:extLst>
            </c:dLbl>
            <c:spPr>
              <a:noFill/>
              <a:ln w="25400">
                <a:noFill/>
              </a:ln>
            </c:spPr>
            <c:txPr>
              <a:bodyPr wrap="square" lIns="38100" tIns="19050" rIns="38100" bIns="19050" anchor="ctr">
                <a:spAutoFit/>
              </a:bodyPr>
              <a:lstStyle/>
              <a:p>
                <a:pPr>
                  <a:defRPr sz="700">
                    <a:latin typeface="Arial Narrow" panose="020B0606020202030204" pitchFamily="34" charset="0"/>
                  </a:defRPr>
                </a:pPr>
                <a:endParaRPr lang="el-G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'[mdglqf.xlsx]g2-5'!$A$30:$A$42</c:f>
              <c:strCache>
                <c:ptCount val="13"/>
                <c:pt idx="0">
                  <c:v>Children &amp; Young People</c:v>
                </c:pt>
                <c:pt idx="1">
                  <c:v>Women</c:v>
                </c:pt>
                <c:pt idx="2">
                  <c:v>Older Adults</c:v>
                </c:pt>
                <c:pt idx="3">
                  <c:v>LGBTQI+</c:v>
                </c:pt>
                <c:pt idx="4">
                  <c:v>Refugees</c:v>
                </c:pt>
                <c:pt idx="5">
                  <c:v>Migrants</c:v>
                </c:pt>
                <c:pt idx="6">
                  <c:v>Homeless People</c:v>
                </c:pt>
                <c:pt idx="7">
                  <c:v>Prison Populations</c:v>
                </c:pt>
                <c:pt idx="8">
                  <c:v>Unemployed People</c:v>
                </c:pt>
                <c:pt idx="9">
                  <c:v>Single parents</c:v>
                </c:pt>
                <c:pt idx="10">
                  <c:v>Young mothers</c:v>
                </c:pt>
                <c:pt idx="11">
                  <c:v>Ethnic Minorities</c:v>
                </c:pt>
                <c:pt idx="12">
                  <c:v>Indigenous Populations</c:v>
                </c:pt>
              </c:strCache>
            </c:strRef>
          </c:cat>
          <c:val>
            <c:numRef>
              <c:f>'[mdglqf.xlsx]g2-5'!$O$30:$O$42</c:f>
              <c:numCache>
                <c:formatCode>General</c:formatCode>
                <c:ptCount val="13"/>
                <c:pt idx="0">
                  <c:v>1</c:v>
                </c:pt>
              </c:numCache>
            </c:numRef>
          </c:val>
          <c:extLst>
            <c:ext xmlns:c16="http://schemas.microsoft.com/office/drawing/2014/chart" uri="{C3380CC4-5D6E-409C-BE32-E72D297353CC}">
              <c16:uniqueId val="{0000000F-D288-4846-8C92-0E741B2459BB}"/>
            </c:ext>
          </c:extLst>
        </c:ser>
        <c:ser>
          <c:idx val="14"/>
          <c:order val="14"/>
          <c:tx>
            <c:strRef>
              <c:f>'[mdglqf.xlsx]g2-5'!$P$29</c:f>
              <c:strCache>
                <c:ptCount val="1"/>
                <c:pt idx="0">
                  <c:v>NLD</c:v>
                </c:pt>
              </c:strCache>
            </c:strRef>
          </c:tx>
          <c:spPr>
            <a:solidFill>
              <a:srgbClr val="5B9BD5">
                <a:lumMod val="40000"/>
                <a:lumOff val="60000"/>
              </a:srgbClr>
            </a:solidFill>
            <a:ln>
              <a:noFill/>
            </a:ln>
          </c:spPr>
          <c:invertIfNegative val="0"/>
          <c:dLbls>
            <c:spPr>
              <a:noFill/>
              <a:ln w="25400">
                <a:noFill/>
              </a:ln>
            </c:spPr>
            <c:txPr>
              <a:bodyPr wrap="square" lIns="38100" tIns="19050" rIns="38100" bIns="19050" anchor="ctr">
                <a:spAutoFit/>
              </a:bodyPr>
              <a:lstStyle/>
              <a:p>
                <a:pPr>
                  <a:defRPr sz="700">
                    <a:latin typeface="Arial Narrow" panose="020B0606020202030204" pitchFamily="34" charset="0"/>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'[mdglqf.xlsx]g2-5'!$A$30:$A$42</c:f>
              <c:strCache>
                <c:ptCount val="13"/>
                <c:pt idx="0">
                  <c:v>Children &amp; Young People</c:v>
                </c:pt>
                <c:pt idx="1">
                  <c:v>Women</c:v>
                </c:pt>
                <c:pt idx="2">
                  <c:v>Older Adults</c:v>
                </c:pt>
                <c:pt idx="3">
                  <c:v>LGBTQI+</c:v>
                </c:pt>
                <c:pt idx="4">
                  <c:v>Refugees</c:v>
                </c:pt>
                <c:pt idx="5">
                  <c:v>Migrants</c:v>
                </c:pt>
                <c:pt idx="6">
                  <c:v>Homeless People</c:v>
                </c:pt>
                <c:pt idx="7">
                  <c:v>Prison Populations</c:v>
                </c:pt>
                <c:pt idx="8">
                  <c:v>Unemployed People</c:v>
                </c:pt>
                <c:pt idx="9">
                  <c:v>Single parents</c:v>
                </c:pt>
                <c:pt idx="10">
                  <c:v>Young mothers</c:v>
                </c:pt>
                <c:pt idx="11">
                  <c:v>Ethnic Minorities</c:v>
                </c:pt>
                <c:pt idx="12">
                  <c:v>Indigenous Populations</c:v>
                </c:pt>
              </c:strCache>
            </c:strRef>
          </c:cat>
          <c:val>
            <c:numRef>
              <c:f>'[mdglqf.xlsx]g2-5'!$P$30:$P$42</c:f>
              <c:numCache>
                <c:formatCode>General</c:formatCode>
                <c:ptCount val="13"/>
                <c:pt idx="0">
                  <c:v>1</c:v>
                </c:pt>
                <c:pt idx="3">
                  <c:v>1</c:v>
                </c:pt>
                <c:pt idx="4">
                  <c:v>1</c:v>
                </c:pt>
                <c:pt idx="10">
                  <c:v>1</c:v>
                </c:pt>
              </c:numCache>
            </c:numRef>
          </c:val>
          <c:extLst>
            <c:ext xmlns:c16="http://schemas.microsoft.com/office/drawing/2014/chart" uri="{C3380CC4-5D6E-409C-BE32-E72D297353CC}">
              <c16:uniqueId val="{00000010-D288-4846-8C92-0E741B2459BB}"/>
            </c:ext>
          </c:extLst>
        </c:ser>
        <c:ser>
          <c:idx val="15"/>
          <c:order val="15"/>
          <c:tx>
            <c:strRef>
              <c:f>'[mdglqf.xlsx]g2-5'!$Q$29</c:f>
              <c:strCache>
                <c:ptCount val="1"/>
                <c:pt idx="0">
                  <c:v>NZL</c:v>
                </c:pt>
              </c:strCache>
            </c:strRef>
          </c:tx>
          <c:spPr>
            <a:solidFill>
              <a:srgbClr val="5B9BD5">
                <a:lumMod val="40000"/>
                <a:lumOff val="60000"/>
              </a:srgbClr>
            </a:solidFill>
            <a:ln>
              <a:noFill/>
            </a:ln>
          </c:spPr>
          <c:invertIfNegative val="0"/>
          <c:dLbls>
            <c:spPr>
              <a:noFill/>
              <a:ln w="25400">
                <a:noFill/>
              </a:ln>
            </c:spPr>
            <c:txPr>
              <a:bodyPr wrap="square" lIns="38100" tIns="19050" rIns="38100" bIns="19050" anchor="ctr">
                <a:spAutoFit/>
              </a:bodyPr>
              <a:lstStyle/>
              <a:p>
                <a:pPr>
                  <a:defRPr sz="700">
                    <a:latin typeface="Arial Narrow" panose="020B0606020202030204" pitchFamily="34" charset="0"/>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'[mdglqf.xlsx]g2-5'!$A$30:$A$42</c:f>
              <c:strCache>
                <c:ptCount val="13"/>
                <c:pt idx="0">
                  <c:v>Children &amp; Young People</c:v>
                </c:pt>
                <c:pt idx="1">
                  <c:v>Women</c:v>
                </c:pt>
                <c:pt idx="2">
                  <c:v>Older Adults</c:v>
                </c:pt>
                <c:pt idx="3">
                  <c:v>LGBTQI+</c:v>
                </c:pt>
                <c:pt idx="4">
                  <c:v>Refugees</c:v>
                </c:pt>
                <c:pt idx="5">
                  <c:v>Migrants</c:v>
                </c:pt>
                <c:pt idx="6">
                  <c:v>Homeless People</c:v>
                </c:pt>
                <c:pt idx="7">
                  <c:v>Prison Populations</c:v>
                </c:pt>
                <c:pt idx="8">
                  <c:v>Unemployed People</c:v>
                </c:pt>
                <c:pt idx="9">
                  <c:v>Single parents</c:v>
                </c:pt>
                <c:pt idx="10">
                  <c:v>Young mothers</c:v>
                </c:pt>
                <c:pt idx="11">
                  <c:v>Ethnic Minorities</c:v>
                </c:pt>
                <c:pt idx="12">
                  <c:v>Indigenous Populations</c:v>
                </c:pt>
              </c:strCache>
            </c:strRef>
          </c:cat>
          <c:val>
            <c:numRef>
              <c:f>'[mdglqf.xlsx]g2-5'!$Q$30:$Q$42</c:f>
              <c:numCache>
                <c:formatCode>General</c:formatCode>
                <c:ptCount val="13"/>
                <c:pt idx="0">
                  <c:v>1</c:v>
                </c:pt>
              </c:numCache>
            </c:numRef>
          </c:val>
          <c:extLst>
            <c:ext xmlns:c16="http://schemas.microsoft.com/office/drawing/2014/chart" uri="{C3380CC4-5D6E-409C-BE32-E72D297353CC}">
              <c16:uniqueId val="{00000011-D288-4846-8C92-0E741B2459BB}"/>
            </c:ext>
          </c:extLst>
        </c:ser>
        <c:ser>
          <c:idx val="16"/>
          <c:order val="16"/>
          <c:tx>
            <c:strRef>
              <c:f>'[mdglqf.xlsx]g2-5'!$R$29</c:f>
              <c:strCache>
                <c:ptCount val="1"/>
                <c:pt idx="0">
                  <c:v>NOR</c:v>
                </c:pt>
              </c:strCache>
            </c:strRef>
          </c:tx>
          <c:spPr>
            <a:solidFill>
              <a:srgbClr val="5B9BD5">
                <a:lumMod val="40000"/>
                <a:lumOff val="60000"/>
              </a:srgbClr>
            </a:solidFill>
            <a:ln>
              <a:noFill/>
            </a:ln>
          </c:spPr>
          <c:invertIfNegative val="0"/>
          <c:dLbls>
            <c:spPr>
              <a:noFill/>
              <a:ln w="25400">
                <a:noFill/>
              </a:ln>
            </c:spPr>
            <c:txPr>
              <a:bodyPr wrap="square" lIns="38100" tIns="19050" rIns="38100" bIns="19050" anchor="ctr">
                <a:spAutoFit/>
              </a:bodyPr>
              <a:lstStyle/>
              <a:p>
                <a:pPr>
                  <a:defRPr sz="700">
                    <a:latin typeface="Arial Narrow" panose="020B0606020202030204" pitchFamily="34" charset="0"/>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'[mdglqf.xlsx]g2-5'!$A$30:$A$42</c:f>
              <c:strCache>
                <c:ptCount val="13"/>
                <c:pt idx="0">
                  <c:v>Children &amp; Young People</c:v>
                </c:pt>
                <c:pt idx="1">
                  <c:v>Women</c:v>
                </c:pt>
                <c:pt idx="2">
                  <c:v>Older Adults</c:v>
                </c:pt>
                <c:pt idx="3">
                  <c:v>LGBTQI+</c:v>
                </c:pt>
                <c:pt idx="4">
                  <c:v>Refugees</c:v>
                </c:pt>
                <c:pt idx="5">
                  <c:v>Migrants</c:v>
                </c:pt>
                <c:pt idx="6">
                  <c:v>Homeless People</c:v>
                </c:pt>
                <c:pt idx="7">
                  <c:v>Prison Populations</c:v>
                </c:pt>
                <c:pt idx="8">
                  <c:v>Unemployed People</c:v>
                </c:pt>
                <c:pt idx="9">
                  <c:v>Single parents</c:v>
                </c:pt>
                <c:pt idx="10">
                  <c:v>Young mothers</c:v>
                </c:pt>
                <c:pt idx="11">
                  <c:v>Ethnic Minorities</c:v>
                </c:pt>
                <c:pt idx="12">
                  <c:v>Indigenous Populations</c:v>
                </c:pt>
              </c:strCache>
            </c:strRef>
          </c:cat>
          <c:val>
            <c:numRef>
              <c:f>'[mdglqf.xlsx]g2-5'!$R$30:$R$42</c:f>
              <c:numCache>
                <c:formatCode>General</c:formatCode>
                <c:ptCount val="13"/>
                <c:pt idx="0">
                  <c:v>1</c:v>
                </c:pt>
                <c:pt idx="3">
                  <c:v>1</c:v>
                </c:pt>
                <c:pt idx="11">
                  <c:v>1</c:v>
                </c:pt>
              </c:numCache>
            </c:numRef>
          </c:val>
          <c:extLst>
            <c:ext xmlns:c16="http://schemas.microsoft.com/office/drawing/2014/chart" uri="{C3380CC4-5D6E-409C-BE32-E72D297353CC}">
              <c16:uniqueId val="{00000012-D288-4846-8C92-0E741B2459BB}"/>
            </c:ext>
          </c:extLst>
        </c:ser>
        <c:ser>
          <c:idx val="17"/>
          <c:order val="17"/>
          <c:tx>
            <c:strRef>
              <c:f>'[mdglqf.xlsx]g2-5'!$S$29</c:f>
              <c:strCache>
                <c:ptCount val="1"/>
                <c:pt idx="0">
                  <c:v>SVN</c:v>
                </c:pt>
              </c:strCache>
            </c:strRef>
          </c:tx>
          <c:spPr>
            <a:solidFill>
              <a:srgbClr val="5B9BD5">
                <a:lumMod val="40000"/>
                <a:lumOff val="60000"/>
              </a:srgbClr>
            </a:solidFill>
            <a:ln>
              <a:noFill/>
            </a:ln>
          </c:spPr>
          <c:invertIfNegative val="0"/>
          <c:dLbls>
            <c:spPr>
              <a:noFill/>
              <a:ln w="25400">
                <a:noFill/>
              </a:ln>
            </c:spPr>
            <c:txPr>
              <a:bodyPr wrap="square" lIns="38100" tIns="19050" rIns="38100" bIns="19050" anchor="ctr">
                <a:spAutoFit/>
              </a:bodyPr>
              <a:lstStyle/>
              <a:p>
                <a:pPr>
                  <a:defRPr sz="700">
                    <a:latin typeface="Arial Narrow" panose="020B0606020202030204" pitchFamily="34" charset="0"/>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'[mdglqf.xlsx]g2-5'!$A$30:$A$42</c:f>
              <c:strCache>
                <c:ptCount val="13"/>
                <c:pt idx="0">
                  <c:v>Children &amp; Young People</c:v>
                </c:pt>
                <c:pt idx="1">
                  <c:v>Women</c:v>
                </c:pt>
                <c:pt idx="2">
                  <c:v>Older Adults</c:v>
                </c:pt>
                <c:pt idx="3">
                  <c:v>LGBTQI+</c:v>
                </c:pt>
                <c:pt idx="4">
                  <c:v>Refugees</c:v>
                </c:pt>
                <c:pt idx="5">
                  <c:v>Migrants</c:v>
                </c:pt>
                <c:pt idx="6">
                  <c:v>Homeless People</c:v>
                </c:pt>
                <c:pt idx="7">
                  <c:v>Prison Populations</c:v>
                </c:pt>
                <c:pt idx="8">
                  <c:v>Unemployed People</c:v>
                </c:pt>
                <c:pt idx="9">
                  <c:v>Single parents</c:v>
                </c:pt>
                <c:pt idx="10">
                  <c:v>Young mothers</c:v>
                </c:pt>
                <c:pt idx="11">
                  <c:v>Ethnic Minorities</c:v>
                </c:pt>
                <c:pt idx="12">
                  <c:v>Indigenous Populations</c:v>
                </c:pt>
              </c:strCache>
            </c:strRef>
          </c:cat>
          <c:val>
            <c:numRef>
              <c:f>'[mdglqf.xlsx]g2-5'!$S$30:$S$42</c:f>
              <c:numCache>
                <c:formatCode>General</c:formatCode>
                <c:ptCount val="13"/>
                <c:pt idx="0">
                  <c:v>1</c:v>
                </c:pt>
                <c:pt idx="2">
                  <c:v>1</c:v>
                </c:pt>
                <c:pt idx="10">
                  <c:v>1</c:v>
                </c:pt>
              </c:numCache>
            </c:numRef>
          </c:val>
          <c:extLst>
            <c:ext xmlns:c16="http://schemas.microsoft.com/office/drawing/2014/chart" uri="{C3380CC4-5D6E-409C-BE32-E72D297353CC}">
              <c16:uniqueId val="{00000013-D288-4846-8C92-0E741B2459BB}"/>
            </c:ext>
          </c:extLst>
        </c:ser>
        <c:ser>
          <c:idx val="18"/>
          <c:order val="18"/>
          <c:tx>
            <c:strRef>
              <c:f>'[mdglqf.xlsx]g2-5'!$T$29</c:f>
              <c:strCache>
                <c:ptCount val="1"/>
                <c:pt idx="0">
                  <c:v>TUR</c:v>
                </c:pt>
              </c:strCache>
            </c:strRef>
          </c:tx>
          <c:spPr>
            <a:solidFill>
              <a:srgbClr val="5B9BD5">
                <a:lumMod val="40000"/>
                <a:lumOff val="60000"/>
              </a:srgbClr>
            </a:solidFill>
          </c:spPr>
          <c:invertIfNegative val="0"/>
          <c:dLbls>
            <c:spPr>
              <a:noFill/>
              <a:ln w="25400">
                <a:noFill/>
              </a:ln>
            </c:spPr>
            <c:txPr>
              <a:bodyPr wrap="square" lIns="38100" tIns="19050" rIns="38100" bIns="19050" anchor="ctr">
                <a:spAutoFit/>
              </a:bodyPr>
              <a:lstStyle/>
              <a:p>
                <a:pPr>
                  <a:defRPr sz="700">
                    <a:latin typeface="Arial Narrow" panose="020B0606020202030204" pitchFamily="34" charset="0"/>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'[mdglqf.xlsx]g2-5'!$A$30:$A$42</c:f>
              <c:strCache>
                <c:ptCount val="13"/>
                <c:pt idx="0">
                  <c:v>Children &amp; Young People</c:v>
                </c:pt>
                <c:pt idx="1">
                  <c:v>Women</c:v>
                </c:pt>
                <c:pt idx="2">
                  <c:v>Older Adults</c:v>
                </c:pt>
                <c:pt idx="3">
                  <c:v>LGBTQI+</c:v>
                </c:pt>
                <c:pt idx="4">
                  <c:v>Refugees</c:v>
                </c:pt>
                <c:pt idx="5">
                  <c:v>Migrants</c:v>
                </c:pt>
                <c:pt idx="6">
                  <c:v>Homeless People</c:v>
                </c:pt>
                <c:pt idx="7">
                  <c:v>Prison Populations</c:v>
                </c:pt>
                <c:pt idx="8">
                  <c:v>Unemployed People</c:v>
                </c:pt>
                <c:pt idx="9">
                  <c:v>Single parents</c:v>
                </c:pt>
                <c:pt idx="10">
                  <c:v>Young mothers</c:v>
                </c:pt>
                <c:pt idx="11">
                  <c:v>Ethnic Minorities</c:v>
                </c:pt>
                <c:pt idx="12">
                  <c:v>Indigenous Populations</c:v>
                </c:pt>
              </c:strCache>
            </c:strRef>
          </c:cat>
          <c:val>
            <c:numRef>
              <c:f>'[mdglqf.xlsx]g2-5'!$T$30:$T$42</c:f>
              <c:numCache>
                <c:formatCode>General</c:formatCode>
                <c:ptCount val="13"/>
                <c:pt idx="2">
                  <c:v>1</c:v>
                </c:pt>
                <c:pt idx="3">
                  <c:v>1</c:v>
                </c:pt>
                <c:pt idx="5">
                  <c:v>1</c:v>
                </c:pt>
              </c:numCache>
            </c:numRef>
          </c:val>
          <c:extLst>
            <c:ext xmlns:c16="http://schemas.microsoft.com/office/drawing/2014/chart" uri="{C3380CC4-5D6E-409C-BE32-E72D297353CC}">
              <c16:uniqueId val="{00000014-D288-4846-8C92-0E741B2459BB}"/>
            </c:ext>
          </c:extLst>
        </c:ser>
        <c:dLbls>
          <c:showLegendKey val="0"/>
          <c:showVal val="0"/>
          <c:showCatName val="0"/>
          <c:showSerName val="0"/>
          <c:showPercent val="0"/>
          <c:showBubbleSize val="0"/>
        </c:dLbls>
        <c:gapWidth val="150"/>
        <c:overlap val="100"/>
        <c:axId val="1171702872"/>
        <c:axId val="1"/>
      </c:barChart>
      <c:catAx>
        <c:axId val="1171702872"/>
        <c:scaling>
          <c:orientation val="minMax"/>
        </c:scaling>
        <c:delete val="1"/>
        <c:axPos val="b"/>
        <c:majorGridlines>
          <c:spPr>
            <a:ln w="9525" cmpd="sng">
              <a:solidFill>
                <a:srgbClr val="FFFFFF"/>
              </a:solidFill>
              <a:prstDash val="solid"/>
            </a:ln>
          </c:spPr>
        </c:majorGridlines>
        <c:numFmt formatCode="General" sourceLinked="0"/>
        <c:majorTickMark val="in"/>
        <c:minorTickMark val="none"/>
        <c:tickLblPos val="low"/>
        <c:crossAx val="1"/>
        <c:crosses val="autoZero"/>
        <c:auto val="1"/>
        <c:lblAlgn val="ctr"/>
        <c:lblOffset val="0"/>
        <c:tickLblSkip val="1"/>
        <c:noMultiLvlLbl val="0"/>
      </c:catAx>
      <c:valAx>
        <c:axId val="1"/>
        <c:scaling>
          <c:orientation val="minMax"/>
        </c:scaling>
        <c:delete val="0"/>
        <c:axPos val="l"/>
        <c:majorGridlines>
          <c:spPr>
            <a:ln w="9525" cmpd="sng">
              <a:solidFill>
                <a:srgbClr val="FFFFFF"/>
              </a:solidFill>
              <a:prstDash val="solid"/>
            </a:ln>
          </c:spPr>
        </c:majorGridlines>
        <c:numFmt formatCode="General" sourceLinked="1"/>
        <c:majorTickMark val="in"/>
        <c:minorTickMark val="none"/>
        <c:tickLblPos val="nextTo"/>
        <c:spPr>
          <a:noFill/>
          <a:ln w="9525">
            <a:solidFill>
              <a:srgbClr val="000000"/>
            </a:solidFill>
            <a:prstDash val="solid"/>
          </a:ln>
          <a:extLst>
            <a:ext uri="{909E8E84-426E-40DD-AFC4-6F175D3DCCD1}">
              <a14:hiddenFill xmlns:a14="http://schemas.microsoft.com/office/drawing/2010/main">
                <a:noFill/>
              </a14:hiddenFill>
            </a:ext>
          </a:extLst>
        </c:spPr>
        <c:txPr>
          <a:bodyPr rot="-60000000" vert="horz"/>
          <a:lstStyle/>
          <a:p>
            <a:pPr>
              <a:defRPr sz="750" b="0" i="0">
                <a:solidFill>
                  <a:srgbClr val="000000"/>
                </a:solidFill>
                <a:latin typeface="Arial Narrow"/>
                <a:ea typeface="Arial Narrow"/>
                <a:cs typeface="Arial Narrow"/>
              </a:defRPr>
            </a:pPr>
            <a:endParaRPr lang="el-GR"/>
          </a:p>
        </c:txPr>
        <c:crossAx val="1171702872"/>
        <c:crosses val="autoZero"/>
        <c:crossBetween val="between"/>
      </c:valAx>
      <c:spPr>
        <a:solidFill>
          <a:srgbClr val="EAEAEA"/>
        </a:solidFill>
        <a:ln w="25400">
          <a:noFill/>
        </a:ln>
      </c:spPr>
    </c:plotArea>
    <c:plotVisOnly val="1"/>
    <c:dispBlanksAs val="gap"/>
    <c:showDLblsOverMax val="1"/>
  </c:chart>
  <c:spPr>
    <a:noFill/>
    <a:ln w="9525">
      <a:noFill/>
    </a:ln>
  </c:sp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l-G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Φύλλο1!$B$1</c:f>
              <c:strCache>
                <c:ptCount val="1"/>
                <c:pt idx="0">
                  <c:v>Αυτοπαραπομπή απευθείας στις υπηρεσίες</c:v>
                </c:pt>
              </c:strCache>
            </c:strRef>
          </c:tx>
          <c:spPr>
            <a:solidFill>
              <a:schemeClr val="accent1"/>
            </a:solidFill>
            <a:ln>
              <a:noFill/>
            </a:ln>
            <a:effectLst/>
          </c:spPr>
          <c:invertIfNegative val="0"/>
          <c:cat>
            <c:strRef>
              <c:f>Φύλλο1!$A$2:$A$26</c:f>
              <c:strCache>
                <c:ptCount val="25"/>
                <c:pt idx="0">
                  <c:v>Αυστραλία</c:v>
                </c:pt>
                <c:pt idx="1">
                  <c:v>Αυστρία</c:v>
                </c:pt>
                <c:pt idx="2">
                  <c:v>Βέλγιο</c:v>
                </c:pt>
                <c:pt idx="3">
                  <c:v>Καναδάς</c:v>
                </c:pt>
                <c:pt idx="4">
                  <c:v>Τσεχία</c:v>
                </c:pt>
                <c:pt idx="5">
                  <c:v>Δανία</c:v>
                </c:pt>
                <c:pt idx="6">
                  <c:v>Εσθονία</c:v>
                </c:pt>
                <c:pt idx="7">
                  <c:v>Ελλάδα</c:v>
                </c:pt>
                <c:pt idx="8">
                  <c:v>Ιρλανδία</c:v>
                </c:pt>
                <c:pt idx="9">
                  <c:v>Ισλανδία</c:v>
                </c:pt>
                <c:pt idx="10">
                  <c:v>Ισραήλ</c:v>
                </c:pt>
                <c:pt idx="11">
                  <c:v>Ιταλία</c:v>
                </c:pt>
                <c:pt idx="12">
                  <c:v>Ιαπωνία</c:v>
                </c:pt>
                <c:pt idx="13">
                  <c:v>Κορέα</c:v>
                </c:pt>
                <c:pt idx="14">
                  <c:v>Λετονία</c:v>
                </c:pt>
                <c:pt idx="15">
                  <c:v>Λιθουανία</c:v>
                </c:pt>
                <c:pt idx="16">
                  <c:v>Λουξεμβούργο</c:v>
                </c:pt>
                <c:pt idx="17">
                  <c:v>Ολλανδία</c:v>
                </c:pt>
                <c:pt idx="18">
                  <c:v>Νορβηγία</c:v>
                </c:pt>
                <c:pt idx="19">
                  <c:v>Πολωνία</c:v>
                </c:pt>
                <c:pt idx="20">
                  <c:v>Πορτογαλία</c:v>
                </c:pt>
                <c:pt idx="21">
                  <c:v>Σλοβενία</c:v>
                </c:pt>
                <c:pt idx="22">
                  <c:v>Ελβετία</c:v>
                </c:pt>
                <c:pt idx="23">
                  <c:v>Τουρκία</c:v>
                </c:pt>
                <c:pt idx="24">
                  <c:v>Ην.Βασίλειο</c:v>
                </c:pt>
              </c:strCache>
            </c:strRef>
          </c:cat>
          <c:val>
            <c:numRef>
              <c:f>Φύλλο1!$B$2:$B$26</c:f>
              <c:numCache>
                <c:formatCode>General</c:formatCode>
                <c:ptCount val="25"/>
                <c:pt idx="0">
                  <c:v>1</c:v>
                </c:pt>
                <c:pt idx="1">
                  <c:v>1</c:v>
                </c:pt>
                <c:pt idx="2">
                  <c:v>1</c:v>
                </c:pt>
                <c:pt idx="3">
                  <c:v>1</c:v>
                </c:pt>
                <c:pt idx="4">
                  <c:v>1</c:v>
                </c:pt>
                <c:pt idx="5">
                  <c:v>1</c:v>
                </c:pt>
                <c:pt idx="6">
                  <c:v>1</c:v>
                </c:pt>
                <c:pt idx="7">
                  <c:v>1</c:v>
                </c:pt>
                <c:pt idx="8">
                  <c:v>1</c:v>
                </c:pt>
                <c:pt idx="9">
                  <c:v>1</c:v>
                </c:pt>
                <c:pt idx="10">
                  <c:v>1</c:v>
                </c:pt>
                <c:pt idx="11">
                  <c:v>1</c:v>
                </c:pt>
                <c:pt idx="12">
                  <c:v>1</c:v>
                </c:pt>
                <c:pt idx="13">
                  <c:v>1</c:v>
                </c:pt>
                <c:pt idx="14">
                  <c:v>1</c:v>
                </c:pt>
                <c:pt idx="15">
                  <c:v>1</c:v>
                </c:pt>
                <c:pt idx="16">
                  <c:v>1</c:v>
                </c:pt>
                <c:pt idx="17">
                  <c:v>1</c:v>
                </c:pt>
                <c:pt idx="18">
                  <c:v>1</c:v>
                </c:pt>
                <c:pt idx="19">
                  <c:v>1</c:v>
                </c:pt>
                <c:pt idx="20">
                  <c:v>1</c:v>
                </c:pt>
                <c:pt idx="21">
                  <c:v>1</c:v>
                </c:pt>
                <c:pt idx="22">
                  <c:v>1</c:v>
                </c:pt>
                <c:pt idx="23">
                  <c:v>1</c:v>
                </c:pt>
                <c:pt idx="24">
                  <c:v>1</c:v>
                </c:pt>
              </c:numCache>
            </c:numRef>
          </c:val>
          <c:extLst>
            <c:ext xmlns:c16="http://schemas.microsoft.com/office/drawing/2014/chart" uri="{C3380CC4-5D6E-409C-BE32-E72D297353CC}">
              <c16:uniqueId val="{00000000-D5EA-4A17-AE4B-2AD53763D8BA}"/>
            </c:ext>
          </c:extLst>
        </c:ser>
        <c:ser>
          <c:idx val="1"/>
          <c:order val="1"/>
          <c:tx>
            <c:strRef>
              <c:f>Φύλλο1!$C$1</c:f>
              <c:strCache>
                <c:ptCount val="1"/>
                <c:pt idx="0">
                  <c:v>Εθνική τηλεφωνική γραμμή</c:v>
                </c:pt>
              </c:strCache>
            </c:strRef>
          </c:tx>
          <c:spPr>
            <a:solidFill>
              <a:schemeClr val="accent2"/>
            </a:solidFill>
            <a:ln>
              <a:noFill/>
            </a:ln>
            <a:effectLst/>
          </c:spPr>
          <c:invertIfNegative val="0"/>
          <c:cat>
            <c:strRef>
              <c:f>Φύλλο1!$A$2:$A$26</c:f>
              <c:strCache>
                <c:ptCount val="25"/>
                <c:pt idx="0">
                  <c:v>Αυστραλία</c:v>
                </c:pt>
                <c:pt idx="1">
                  <c:v>Αυστρία</c:v>
                </c:pt>
                <c:pt idx="2">
                  <c:v>Βέλγιο</c:v>
                </c:pt>
                <c:pt idx="3">
                  <c:v>Καναδάς</c:v>
                </c:pt>
                <c:pt idx="4">
                  <c:v>Τσεχία</c:v>
                </c:pt>
                <c:pt idx="5">
                  <c:v>Δανία</c:v>
                </c:pt>
                <c:pt idx="6">
                  <c:v>Εσθονία</c:v>
                </c:pt>
                <c:pt idx="7">
                  <c:v>Ελλάδα</c:v>
                </c:pt>
                <c:pt idx="8">
                  <c:v>Ιρλανδία</c:v>
                </c:pt>
                <c:pt idx="9">
                  <c:v>Ισλανδία</c:v>
                </c:pt>
                <c:pt idx="10">
                  <c:v>Ισραήλ</c:v>
                </c:pt>
                <c:pt idx="11">
                  <c:v>Ιταλία</c:v>
                </c:pt>
                <c:pt idx="12">
                  <c:v>Ιαπωνία</c:v>
                </c:pt>
                <c:pt idx="13">
                  <c:v>Κορέα</c:v>
                </c:pt>
                <c:pt idx="14">
                  <c:v>Λετονία</c:v>
                </c:pt>
                <c:pt idx="15">
                  <c:v>Λιθουανία</c:v>
                </c:pt>
                <c:pt idx="16">
                  <c:v>Λουξεμβούργο</c:v>
                </c:pt>
                <c:pt idx="17">
                  <c:v>Ολλανδία</c:v>
                </c:pt>
                <c:pt idx="18">
                  <c:v>Νορβηγία</c:v>
                </c:pt>
                <c:pt idx="19">
                  <c:v>Πολωνία</c:v>
                </c:pt>
                <c:pt idx="20">
                  <c:v>Πορτογαλία</c:v>
                </c:pt>
                <c:pt idx="21">
                  <c:v>Σλοβενία</c:v>
                </c:pt>
                <c:pt idx="22">
                  <c:v>Ελβετία</c:v>
                </c:pt>
                <c:pt idx="23">
                  <c:v>Τουρκία</c:v>
                </c:pt>
                <c:pt idx="24">
                  <c:v>Ην.Βασίλειο</c:v>
                </c:pt>
              </c:strCache>
            </c:strRef>
          </c:cat>
          <c:val>
            <c:numRef>
              <c:f>Φύλλο1!$C$2:$C$26</c:f>
              <c:numCache>
                <c:formatCode>General</c:formatCode>
                <c:ptCount val="25"/>
                <c:pt idx="0">
                  <c:v>1</c:v>
                </c:pt>
                <c:pt idx="1">
                  <c:v>1</c:v>
                </c:pt>
                <c:pt idx="3">
                  <c:v>1</c:v>
                </c:pt>
                <c:pt idx="4">
                  <c:v>1</c:v>
                </c:pt>
                <c:pt idx="5">
                  <c:v>1</c:v>
                </c:pt>
                <c:pt idx="6">
                  <c:v>1</c:v>
                </c:pt>
                <c:pt idx="8">
                  <c:v>1</c:v>
                </c:pt>
                <c:pt idx="9">
                  <c:v>1</c:v>
                </c:pt>
                <c:pt idx="10">
                  <c:v>1</c:v>
                </c:pt>
                <c:pt idx="13">
                  <c:v>1</c:v>
                </c:pt>
                <c:pt idx="14">
                  <c:v>1</c:v>
                </c:pt>
                <c:pt idx="15">
                  <c:v>1</c:v>
                </c:pt>
                <c:pt idx="16">
                  <c:v>1</c:v>
                </c:pt>
                <c:pt idx="17">
                  <c:v>1</c:v>
                </c:pt>
                <c:pt idx="18">
                  <c:v>1</c:v>
                </c:pt>
                <c:pt idx="19">
                  <c:v>1</c:v>
                </c:pt>
                <c:pt idx="20">
                  <c:v>1</c:v>
                </c:pt>
                <c:pt idx="21">
                  <c:v>1</c:v>
                </c:pt>
                <c:pt idx="22">
                  <c:v>1</c:v>
                </c:pt>
                <c:pt idx="24">
                  <c:v>1</c:v>
                </c:pt>
              </c:numCache>
            </c:numRef>
          </c:val>
          <c:extLst>
            <c:ext xmlns:c16="http://schemas.microsoft.com/office/drawing/2014/chart" uri="{C3380CC4-5D6E-409C-BE32-E72D297353CC}">
              <c16:uniqueId val="{00000001-D5EA-4A17-AE4B-2AD53763D8BA}"/>
            </c:ext>
          </c:extLst>
        </c:ser>
        <c:ser>
          <c:idx val="2"/>
          <c:order val="2"/>
          <c:tx>
            <c:strRef>
              <c:f>Φύλλο1!$D$1</c:f>
              <c:strCache>
                <c:ptCount val="1"/>
                <c:pt idx="0">
                  <c:v>Διαδικτυακές πληροφορίες &amp; Υπηρεσίες</c:v>
                </c:pt>
              </c:strCache>
            </c:strRef>
          </c:tx>
          <c:spPr>
            <a:solidFill>
              <a:schemeClr val="accent3"/>
            </a:solidFill>
            <a:ln>
              <a:noFill/>
            </a:ln>
            <a:effectLst/>
          </c:spPr>
          <c:invertIfNegative val="0"/>
          <c:cat>
            <c:strRef>
              <c:f>Φύλλο1!$A$2:$A$26</c:f>
              <c:strCache>
                <c:ptCount val="25"/>
                <c:pt idx="0">
                  <c:v>Αυστραλία</c:v>
                </c:pt>
                <c:pt idx="1">
                  <c:v>Αυστρία</c:v>
                </c:pt>
                <c:pt idx="2">
                  <c:v>Βέλγιο</c:v>
                </c:pt>
                <c:pt idx="3">
                  <c:v>Καναδάς</c:v>
                </c:pt>
                <c:pt idx="4">
                  <c:v>Τσεχία</c:v>
                </c:pt>
                <c:pt idx="5">
                  <c:v>Δανία</c:v>
                </c:pt>
                <c:pt idx="6">
                  <c:v>Εσθονία</c:v>
                </c:pt>
                <c:pt idx="7">
                  <c:v>Ελλάδα</c:v>
                </c:pt>
                <c:pt idx="8">
                  <c:v>Ιρλανδία</c:v>
                </c:pt>
                <c:pt idx="9">
                  <c:v>Ισλανδία</c:v>
                </c:pt>
                <c:pt idx="10">
                  <c:v>Ισραήλ</c:v>
                </c:pt>
                <c:pt idx="11">
                  <c:v>Ιταλία</c:v>
                </c:pt>
                <c:pt idx="12">
                  <c:v>Ιαπωνία</c:v>
                </c:pt>
                <c:pt idx="13">
                  <c:v>Κορέα</c:v>
                </c:pt>
                <c:pt idx="14">
                  <c:v>Λετονία</c:v>
                </c:pt>
                <c:pt idx="15">
                  <c:v>Λιθουανία</c:v>
                </c:pt>
                <c:pt idx="16">
                  <c:v>Λουξεμβούργο</c:v>
                </c:pt>
                <c:pt idx="17">
                  <c:v>Ολλανδία</c:v>
                </c:pt>
                <c:pt idx="18">
                  <c:v>Νορβηγία</c:v>
                </c:pt>
                <c:pt idx="19">
                  <c:v>Πολωνία</c:v>
                </c:pt>
                <c:pt idx="20">
                  <c:v>Πορτογαλία</c:v>
                </c:pt>
                <c:pt idx="21">
                  <c:v>Σλοβενία</c:v>
                </c:pt>
                <c:pt idx="22">
                  <c:v>Ελβετία</c:v>
                </c:pt>
                <c:pt idx="23">
                  <c:v>Τουρκία</c:v>
                </c:pt>
                <c:pt idx="24">
                  <c:v>Ην.Βασίλειο</c:v>
                </c:pt>
              </c:strCache>
            </c:strRef>
          </c:cat>
          <c:val>
            <c:numRef>
              <c:f>Φύλλο1!$D$2:$D$26</c:f>
              <c:numCache>
                <c:formatCode>General</c:formatCode>
                <c:ptCount val="25"/>
                <c:pt idx="0">
                  <c:v>1</c:v>
                </c:pt>
                <c:pt idx="1">
                  <c:v>1</c:v>
                </c:pt>
                <c:pt idx="3">
                  <c:v>1</c:v>
                </c:pt>
                <c:pt idx="4">
                  <c:v>1</c:v>
                </c:pt>
                <c:pt idx="5">
                  <c:v>1</c:v>
                </c:pt>
                <c:pt idx="6">
                  <c:v>1</c:v>
                </c:pt>
                <c:pt idx="8">
                  <c:v>1</c:v>
                </c:pt>
                <c:pt idx="9">
                  <c:v>1</c:v>
                </c:pt>
                <c:pt idx="11">
                  <c:v>1</c:v>
                </c:pt>
                <c:pt idx="13">
                  <c:v>1</c:v>
                </c:pt>
                <c:pt idx="14">
                  <c:v>1</c:v>
                </c:pt>
                <c:pt idx="15">
                  <c:v>1</c:v>
                </c:pt>
                <c:pt idx="17">
                  <c:v>1</c:v>
                </c:pt>
                <c:pt idx="18">
                  <c:v>1</c:v>
                </c:pt>
                <c:pt idx="19">
                  <c:v>1</c:v>
                </c:pt>
                <c:pt idx="20">
                  <c:v>1</c:v>
                </c:pt>
                <c:pt idx="21">
                  <c:v>1</c:v>
                </c:pt>
                <c:pt idx="22">
                  <c:v>1</c:v>
                </c:pt>
                <c:pt idx="23">
                  <c:v>1</c:v>
                </c:pt>
                <c:pt idx="24">
                  <c:v>1</c:v>
                </c:pt>
              </c:numCache>
            </c:numRef>
          </c:val>
          <c:extLst>
            <c:ext xmlns:c16="http://schemas.microsoft.com/office/drawing/2014/chart" uri="{C3380CC4-5D6E-409C-BE32-E72D297353CC}">
              <c16:uniqueId val="{00000002-D5EA-4A17-AE4B-2AD53763D8BA}"/>
            </c:ext>
          </c:extLst>
        </c:ser>
        <c:ser>
          <c:idx val="3"/>
          <c:order val="3"/>
          <c:tx>
            <c:strRef>
              <c:f>Φύλλο1!$E$1</c:f>
              <c:strCache>
                <c:ptCount val="1"/>
                <c:pt idx="0">
                  <c:v>Τμήμα Επειγόντων</c:v>
                </c:pt>
              </c:strCache>
            </c:strRef>
          </c:tx>
          <c:spPr>
            <a:solidFill>
              <a:schemeClr val="accent4"/>
            </a:solidFill>
            <a:ln>
              <a:noFill/>
            </a:ln>
            <a:effectLst/>
          </c:spPr>
          <c:invertIfNegative val="0"/>
          <c:cat>
            <c:strRef>
              <c:f>Φύλλο1!$A$2:$A$26</c:f>
              <c:strCache>
                <c:ptCount val="25"/>
                <c:pt idx="0">
                  <c:v>Αυστραλία</c:v>
                </c:pt>
                <c:pt idx="1">
                  <c:v>Αυστρία</c:v>
                </c:pt>
                <c:pt idx="2">
                  <c:v>Βέλγιο</c:v>
                </c:pt>
                <c:pt idx="3">
                  <c:v>Καναδάς</c:v>
                </c:pt>
                <c:pt idx="4">
                  <c:v>Τσεχία</c:v>
                </c:pt>
                <c:pt idx="5">
                  <c:v>Δανία</c:v>
                </c:pt>
                <c:pt idx="6">
                  <c:v>Εσθονία</c:v>
                </c:pt>
                <c:pt idx="7">
                  <c:v>Ελλάδα</c:v>
                </c:pt>
                <c:pt idx="8">
                  <c:v>Ιρλανδία</c:v>
                </c:pt>
                <c:pt idx="9">
                  <c:v>Ισλανδία</c:v>
                </c:pt>
                <c:pt idx="10">
                  <c:v>Ισραήλ</c:v>
                </c:pt>
                <c:pt idx="11">
                  <c:v>Ιταλία</c:v>
                </c:pt>
                <c:pt idx="12">
                  <c:v>Ιαπωνία</c:v>
                </c:pt>
                <c:pt idx="13">
                  <c:v>Κορέα</c:v>
                </c:pt>
                <c:pt idx="14">
                  <c:v>Λετονία</c:v>
                </c:pt>
                <c:pt idx="15">
                  <c:v>Λιθουανία</c:v>
                </c:pt>
                <c:pt idx="16">
                  <c:v>Λουξεμβούργο</c:v>
                </c:pt>
                <c:pt idx="17">
                  <c:v>Ολλανδία</c:v>
                </c:pt>
                <c:pt idx="18">
                  <c:v>Νορβηγία</c:v>
                </c:pt>
                <c:pt idx="19">
                  <c:v>Πολωνία</c:v>
                </c:pt>
                <c:pt idx="20">
                  <c:v>Πορτογαλία</c:v>
                </c:pt>
                <c:pt idx="21">
                  <c:v>Σλοβενία</c:v>
                </c:pt>
                <c:pt idx="22">
                  <c:v>Ελβετία</c:v>
                </c:pt>
                <c:pt idx="23">
                  <c:v>Τουρκία</c:v>
                </c:pt>
                <c:pt idx="24">
                  <c:v>Ην.Βασίλειο</c:v>
                </c:pt>
              </c:strCache>
            </c:strRef>
          </c:cat>
          <c:val>
            <c:numRef>
              <c:f>Φύλλο1!$E$2:$E$26</c:f>
              <c:numCache>
                <c:formatCode>General</c:formatCode>
                <c:ptCount val="25"/>
                <c:pt idx="0">
                  <c:v>1</c:v>
                </c:pt>
                <c:pt idx="1">
                  <c:v>1</c:v>
                </c:pt>
                <c:pt idx="3">
                  <c:v>1</c:v>
                </c:pt>
                <c:pt idx="4">
                  <c:v>1</c:v>
                </c:pt>
                <c:pt idx="5">
                  <c:v>1</c:v>
                </c:pt>
                <c:pt idx="6">
                  <c:v>1</c:v>
                </c:pt>
                <c:pt idx="7">
                  <c:v>1</c:v>
                </c:pt>
                <c:pt idx="8">
                  <c:v>1</c:v>
                </c:pt>
                <c:pt idx="9">
                  <c:v>1</c:v>
                </c:pt>
                <c:pt idx="10">
                  <c:v>1</c:v>
                </c:pt>
                <c:pt idx="11">
                  <c:v>1</c:v>
                </c:pt>
                <c:pt idx="12">
                  <c:v>1</c:v>
                </c:pt>
                <c:pt idx="13">
                  <c:v>1</c:v>
                </c:pt>
                <c:pt idx="14">
                  <c:v>1</c:v>
                </c:pt>
                <c:pt idx="15">
                  <c:v>1</c:v>
                </c:pt>
                <c:pt idx="16">
                  <c:v>1</c:v>
                </c:pt>
                <c:pt idx="17">
                  <c:v>1</c:v>
                </c:pt>
                <c:pt idx="19">
                  <c:v>1</c:v>
                </c:pt>
                <c:pt idx="20">
                  <c:v>1</c:v>
                </c:pt>
                <c:pt idx="21">
                  <c:v>1</c:v>
                </c:pt>
                <c:pt idx="22">
                  <c:v>1</c:v>
                </c:pt>
                <c:pt idx="23">
                  <c:v>1</c:v>
                </c:pt>
                <c:pt idx="24">
                  <c:v>1</c:v>
                </c:pt>
              </c:numCache>
            </c:numRef>
          </c:val>
          <c:extLst>
            <c:ext xmlns:c16="http://schemas.microsoft.com/office/drawing/2014/chart" uri="{C3380CC4-5D6E-409C-BE32-E72D297353CC}">
              <c16:uniqueId val="{00000003-D5EA-4A17-AE4B-2AD53763D8BA}"/>
            </c:ext>
          </c:extLst>
        </c:ser>
        <c:dLbls>
          <c:showLegendKey val="0"/>
          <c:showVal val="0"/>
          <c:showCatName val="0"/>
          <c:showSerName val="0"/>
          <c:showPercent val="0"/>
          <c:showBubbleSize val="0"/>
        </c:dLbls>
        <c:gapWidth val="150"/>
        <c:overlap val="100"/>
        <c:axId val="521014104"/>
        <c:axId val="521014432"/>
      </c:barChart>
      <c:catAx>
        <c:axId val="52101410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l-GR"/>
          </a:p>
        </c:txPr>
        <c:crossAx val="521014432"/>
        <c:crosses val="autoZero"/>
        <c:auto val="1"/>
        <c:lblAlgn val="ctr"/>
        <c:lblOffset val="100"/>
        <c:noMultiLvlLbl val="0"/>
      </c:catAx>
      <c:valAx>
        <c:axId val="521014432"/>
        <c:scaling>
          <c:orientation val="minMax"/>
        </c:scaling>
        <c:delete val="1"/>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5210141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l-GR"/>
        </a:p>
      </c:txPr>
    </c:legend>
    <c:plotVisOnly val="1"/>
    <c:dispBlanksAs val="gap"/>
    <c:showDLblsOverMax val="0"/>
  </c:chart>
  <c:spPr>
    <a:solidFill>
      <a:schemeClr val="bg1"/>
    </a:solidFill>
    <a:ln w="9525" cap="flat" cmpd="sng" algn="ctr">
      <a:noFill/>
      <a:round/>
    </a:ln>
    <a:effectLst/>
  </c:spPr>
  <c:txPr>
    <a:bodyPr/>
    <a:lstStyle/>
    <a:p>
      <a:pPr>
        <a:defRPr/>
      </a:pPr>
      <a:endParaRPr lang="el-GR"/>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l-G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3.4204681563916442E-2"/>
          <c:y val="8.6158467815285453E-2"/>
          <c:w val="0.96579531843608357"/>
          <c:h val="0.87525212979662459"/>
        </c:manualLayout>
      </c:layout>
      <c:barChart>
        <c:barDir val="col"/>
        <c:grouping val="stacked"/>
        <c:varyColors val="0"/>
        <c:ser>
          <c:idx val="0"/>
          <c:order val="0"/>
          <c:tx>
            <c:v>AUS</c:v>
          </c:tx>
          <c:spPr>
            <a:solidFill>
              <a:srgbClr val="006BB6"/>
            </a:solidFill>
            <a:ln w="6350" cmpd="sng">
              <a:solidFill>
                <a:srgbClr val="000000"/>
              </a:solidFill>
            </a:ln>
            <a:effectLst/>
          </c:spPr>
          <c:invertIfNegative val="0"/>
          <c:dPt>
            <c:idx val="3"/>
            <c:invertIfNegative val="0"/>
            <c:bubble3D val="0"/>
            <c:spPr>
              <a:solidFill>
                <a:schemeClr val="accent1">
                  <a:lumMod val="60000"/>
                  <a:lumOff val="40000"/>
                </a:schemeClr>
              </a:solidFill>
              <a:ln w="6350" cmpd="sng">
                <a:solidFill>
                  <a:srgbClr val="000000"/>
                </a:solidFill>
              </a:ln>
              <a:effectLst/>
            </c:spPr>
            <c:extLst>
              <c:ext xmlns:c16="http://schemas.microsoft.com/office/drawing/2014/chart" uri="{C3380CC4-5D6E-409C-BE32-E72D297353CC}">
                <c16:uniqueId val="{00000001-22B0-484E-9891-5F7D5BC045D4}"/>
              </c:ext>
            </c:extLst>
          </c:dPt>
          <c:dPt>
            <c:idx val="4"/>
            <c:invertIfNegative val="0"/>
            <c:bubble3D val="0"/>
            <c:spPr>
              <a:solidFill>
                <a:schemeClr val="accent1">
                  <a:lumMod val="60000"/>
                  <a:lumOff val="40000"/>
                </a:schemeClr>
              </a:solidFill>
              <a:ln w="6350" cmpd="sng">
                <a:solidFill>
                  <a:srgbClr val="000000"/>
                </a:solidFill>
              </a:ln>
              <a:effectLst/>
            </c:spPr>
            <c:extLst>
              <c:ext xmlns:c16="http://schemas.microsoft.com/office/drawing/2014/chart" uri="{C3380CC4-5D6E-409C-BE32-E72D297353CC}">
                <c16:uniqueId val="{00000003-22B0-484E-9891-5F7D5BC045D4}"/>
              </c:ext>
            </c:extLst>
          </c:dPt>
          <c:dLbls>
            <c:spPr>
              <a:noFill/>
              <a:ln>
                <a:noFill/>
              </a:ln>
              <a:effectLst/>
            </c:spPr>
            <c:txPr>
              <a:bodyPr wrap="square" lIns="38100" tIns="19050" rIns="38100" bIns="19050" anchor="ctr">
                <a:spAutoFit/>
              </a:bodyPr>
              <a:lstStyle/>
              <a:p>
                <a:pPr>
                  <a:defRPr sz="600">
                    <a:latin typeface="Arial Narrow" panose="020B0606020202030204" pitchFamily="34" charset="0"/>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1"/>
              </c:ext>
            </c:extLst>
          </c:dLbls>
          <c:cat>
            <c:strLit>
              <c:ptCount val="6"/>
              <c:pt idx="0">
                <c:v>Psychological therapies delivered by a psychologist</c:v>
              </c:pt>
              <c:pt idx="1">
                <c:v>Psychological therapies delivered by a mental health professional other than psychologists</c:v>
              </c:pt>
              <c:pt idx="2">
                <c:v>Counselling</c:v>
              </c:pt>
              <c:pt idx="3">
                <c:v>Alcohol counselling</c:v>
              </c:pt>
              <c:pt idx="4">
                <c:v>Drug or substance abuse counselling</c:v>
              </c:pt>
              <c:pt idx="5">
                <c:v>Outpatient services</c:v>
              </c:pt>
            </c:strLit>
          </c:cat>
          <c:val>
            <c:numLit>
              <c:formatCode>General</c:formatCode>
              <c:ptCount val="6"/>
              <c:pt idx="0">
                <c:v>1</c:v>
              </c:pt>
              <c:pt idx="1">
                <c:v>1</c:v>
              </c:pt>
              <c:pt idx="3">
                <c:v>1</c:v>
              </c:pt>
              <c:pt idx="4">
                <c:v>1</c:v>
              </c:pt>
              <c:pt idx="5">
                <c:v>1</c:v>
              </c:pt>
            </c:numLit>
          </c:val>
          <c:extLst>
            <c:ext xmlns:c16="http://schemas.microsoft.com/office/drawing/2014/chart" uri="{C3380CC4-5D6E-409C-BE32-E72D297353CC}">
              <c16:uniqueId val="{00000004-22B0-484E-9891-5F7D5BC045D4}"/>
            </c:ext>
          </c:extLst>
        </c:ser>
        <c:ser>
          <c:idx val="1"/>
          <c:order val="1"/>
          <c:tx>
            <c:v>AUT</c:v>
          </c:tx>
          <c:spPr>
            <a:solidFill>
              <a:srgbClr val="CCCCCC"/>
            </a:solidFill>
            <a:ln w="6350" cmpd="sng">
              <a:solidFill>
                <a:srgbClr val="000000"/>
              </a:solidFill>
            </a:ln>
            <a:effectLst/>
          </c:spPr>
          <c:invertIfNegative val="0"/>
          <c:dPt>
            <c:idx val="0"/>
            <c:invertIfNegative val="0"/>
            <c:bubble3D val="0"/>
            <c:spPr>
              <a:solidFill>
                <a:srgbClr val="7FA8D9"/>
              </a:solidFill>
              <a:ln w="6350" cmpd="sng">
                <a:solidFill>
                  <a:srgbClr val="000000"/>
                </a:solidFill>
              </a:ln>
              <a:effectLst/>
            </c:spPr>
            <c:extLst>
              <c:ext xmlns:c16="http://schemas.microsoft.com/office/drawing/2014/chart" uri="{C3380CC4-5D6E-409C-BE32-E72D297353CC}">
                <c16:uniqueId val="{00000006-22B0-484E-9891-5F7D5BC045D4}"/>
              </c:ext>
            </c:extLst>
          </c:dPt>
          <c:dPt>
            <c:idx val="1"/>
            <c:invertIfNegative val="0"/>
            <c:bubble3D val="0"/>
            <c:spPr>
              <a:solidFill>
                <a:srgbClr val="7FA8D9"/>
              </a:solidFill>
              <a:ln w="6350" cmpd="sng">
                <a:solidFill>
                  <a:srgbClr val="000000"/>
                </a:solidFill>
              </a:ln>
              <a:effectLst/>
            </c:spPr>
            <c:extLst>
              <c:ext xmlns:c16="http://schemas.microsoft.com/office/drawing/2014/chart" uri="{C3380CC4-5D6E-409C-BE32-E72D297353CC}">
                <c16:uniqueId val="{00000008-22B0-484E-9891-5F7D5BC045D4}"/>
              </c:ext>
            </c:extLst>
          </c:dPt>
          <c:dPt>
            <c:idx val="2"/>
            <c:invertIfNegative val="0"/>
            <c:bubble3D val="0"/>
            <c:spPr>
              <a:solidFill>
                <a:srgbClr val="7FA8D9"/>
              </a:solidFill>
              <a:ln w="6350" cmpd="sng">
                <a:solidFill>
                  <a:srgbClr val="000000"/>
                </a:solidFill>
              </a:ln>
              <a:effectLst/>
            </c:spPr>
            <c:extLst>
              <c:ext xmlns:c16="http://schemas.microsoft.com/office/drawing/2014/chart" uri="{C3380CC4-5D6E-409C-BE32-E72D297353CC}">
                <c16:uniqueId val="{0000000A-22B0-484E-9891-5F7D5BC045D4}"/>
              </c:ext>
            </c:extLst>
          </c:dPt>
          <c:dPt>
            <c:idx val="3"/>
            <c:invertIfNegative val="0"/>
            <c:bubble3D val="0"/>
            <c:spPr>
              <a:solidFill>
                <a:srgbClr val="006BB6"/>
              </a:solidFill>
              <a:ln w="6350" cmpd="sng">
                <a:solidFill>
                  <a:srgbClr val="000000"/>
                </a:solidFill>
              </a:ln>
              <a:effectLst/>
            </c:spPr>
            <c:extLst>
              <c:ext xmlns:c16="http://schemas.microsoft.com/office/drawing/2014/chart" uri="{C3380CC4-5D6E-409C-BE32-E72D297353CC}">
                <c16:uniqueId val="{0000000C-22B0-484E-9891-5F7D5BC045D4}"/>
              </c:ext>
            </c:extLst>
          </c:dPt>
          <c:dPt>
            <c:idx val="4"/>
            <c:invertIfNegative val="0"/>
            <c:bubble3D val="0"/>
            <c:spPr>
              <a:solidFill>
                <a:srgbClr val="006BB6"/>
              </a:solidFill>
              <a:ln w="6350" cmpd="sng">
                <a:solidFill>
                  <a:srgbClr val="000000"/>
                </a:solidFill>
              </a:ln>
              <a:effectLst/>
            </c:spPr>
            <c:extLst>
              <c:ext xmlns:c16="http://schemas.microsoft.com/office/drawing/2014/chart" uri="{C3380CC4-5D6E-409C-BE32-E72D297353CC}">
                <c16:uniqueId val="{0000000E-22B0-484E-9891-5F7D5BC045D4}"/>
              </c:ext>
            </c:extLst>
          </c:dPt>
          <c:dPt>
            <c:idx val="5"/>
            <c:invertIfNegative val="0"/>
            <c:bubble3D val="0"/>
            <c:spPr>
              <a:solidFill>
                <a:srgbClr val="006BB6"/>
              </a:solidFill>
              <a:ln w="6350" cmpd="sng">
                <a:solidFill>
                  <a:srgbClr val="000000"/>
                </a:solidFill>
              </a:ln>
              <a:effectLst/>
            </c:spPr>
            <c:extLst>
              <c:ext xmlns:c16="http://schemas.microsoft.com/office/drawing/2014/chart" uri="{C3380CC4-5D6E-409C-BE32-E72D297353CC}">
                <c16:uniqueId val="{00000010-22B0-484E-9891-5F7D5BC045D4}"/>
              </c:ext>
            </c:extLst>
          </c:dPt>
          <c:dLbls>
            <c:spPr>
              <a:noFill/>
              <a:ln>
                <a:noFill/>
              </a:ln>
              <a:effectLst/>
            </c:spPr>
            <c:txPr>
              <a:bodyPr wrap="square" lIns="38100" tIns="19050" rIns="38100" bIns="19050" anchor="ctr">
                <a:spAutoFit/>
              </a:bodyPr>
              <a:lstStyle/>
              <a:p>
                <a:pPr>
                  <a:defRPr sz="600">
                    <a:latin typeface="Arial Narrow" panose="020B0606020202030204" pitchFamily="34" charset="0"/>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Lit>
              <c:ptCount val="6"/>
              <c:pt idx="0">
                <c:v>Psychological therapies delivered by a psychologist</c:v>
              </c:pt>
              <c:pt idx="1">
                <c:v>Psychological therapies delivered by a mental health professional other than psychologists</c:v>
              </c:pt>
              <c:pt idx="2">
                <c:v>Counselling</c:v>
              </c:pt>
              <c:pt idx="3">
                <c:v>Alcohol counselling</c:v>
              </c:pt>
              <c:pt idx="4">
                <c:v>Drug or substance abuse counselling</c:v>
              </c:pt>
              <c:pt idx="5">
                <c:v>Outpatient services</c:v>
              </c:pt>
            </c:strLit>
          </c:cat>
          <c:val>
            <c:numLit>
              <c:formatCode>General</c:formatCode>
              <c:ptCount val="6"/>
              <c:pt idx="0">
                <c:v>1</c:v>
              </c:pt>
              <c:pt idx="1">
                <c:v>1</c:v>
              </c:pt>
              <c:pt idx="2">
                <c:v>1</c:v>
              </c:pt>
              <c:pt idx="3">
                <c:v>1</c:v>
              </c:pt>
              <c:pt idx="4">
                <c:v>1</c:v>
              </c:pt>
              <c:pt idx="5">
                <c:v>1</c:v>
              </c:pt>
            </c:numLit>
          </c:val>
          <c:extLst>
            <c:ext xmlns:c16="http://schemas.microsoft.com/office/drawing/2014/chart" uri="{C3380CC4-5D6E-409C-BE32-E72D297353CC}">
              <c16:uniqueId val="{00000011-22B0-484E-9891-5F7D5BC045D4}"/>
            </c:ext>
          </c:extLst>
        </c:ser>
        <c:ser>
          <c:idx val="2"/>
          <c:order val="2"/>
          <c:tx>
            <c:v>BEL</c:v>
          </c:tx>
          <c:spPr>
            <a:solidFill>
              <a:srgbClr val="7FA8D9"/>
            </a:solidFill>
            <a:ln w="6350" cmpd="sng">
              <a:solidFill>
                <a:srgbClr val="000000"/>
              </a:solidFill>
            </a:ln>
            <a:effectLst/>
          </c:spPr>
          <c:invertIfNegative val="0"/>
          <c:dLbls>
            <c:spPr>
              <a:noFill/>
              <a:ln>
                <a:noFill/>
              </a:ln>
              <a:effectLst/>
            </c:spPr>
            <c:txPr>
              <a:bodyPr wrap="square" lIns="38100" tIns="19050" rIns="38100" bIns="19050" anchor="ctr">
                <a:spAutoFit/>
              </a:bodyPr>
              <a:lstStyle/>
              <a:p>
                <a:pPr>
                  <a:defRPr sz="600">
                    <a:latin typeface="Arial Narrow" panose="020B0606020202030204" pitchFamily="34" charset="0"/>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1"/>
              </c:ext>
            </c:extLst>
          </c:dLbls>
          <c:cat>
            <c:strLit>
              <c:ptCount val="6"/>
              <c:pt idx="0">
                <c:v>Psychological therapies delivered by a psychologist</c:v>
              </c:pt>
              <c:pt idx="1">
                <c:v>Psychological therapies delivered by a mental health professional other than psychologists</c:v>
              </c:pt>
              <c:pt idx="2">
                <c:v>Counselling</c:v>
              </c:pt>
              <c:pt idx="3">
                <c:v>Alcohol counselling</c:v>
              </c:pt>
              <c:pt idx="4">
                <c:v>Drug or substance abuse counselling</c:v>
              </c:pt>
              <c:pt idx="5">
                <c:v>Outpatient services</c:v>
              </c:pt>
            </c:strLit>
          </c:cat>
          <c:val>
            <c:numLit>
              <c:formatCode>General</c:formatCode>
              <c:ptCount val="6"/>
              <c:pt idx="0">
                <c:v>1</c:v>
              </c:pt>
              <c:pt idx="1">
                <c:v>1</c:v>
              </c:pt>
              <c:pt idx="2">
                <c:v>1</c:v>
              </c:pt>
              <c:pt idx="3">
                <c:v>1</c:v>
              </c:pt>
              <c:pt idx="4">
                <c:v>1</c:v>
              </c:pt>
              <c:pt idx="5">
                <c:v>1</c:v>
              </c:pt>
            </c:numLit>
          </c:val>
          <c:extLst>
            <c:ext xmlns:c16="http://schemas.microsoft.com/office/drawing/2014/chart" uri="{C3380CC4-5D6E-409C-BE32-E72D297353CC}">
              <c16:uniqueId val="{00000012-22B0-484E-9891-5F7D5BC045D4}"/>
            </c:ext>
          </c:extLst>
        </c:ser>
        <c:ser>
          <c:idx val="3"/>
          <c:order val="3"/>
          <c:tx>
            <c:v>CAN</c:v>
          </c:tx>
          <c:spPr>
            <a:solidFill>
              <a:srgbClr val="7FA8D9"/>
            </a:solidFill>
            <a:ln w="6350" cmpd="sng">
              <a:solidFill>
                <a:srgbClr val="000000"/>
              </a:solidFill>
            </a:ln>
            <a:effectLst/>
          </c:spPr>
          <c:invertIfNegative val="0"/>
          <c:dLbls>
            <c:spPr>
              <a:noFill/>
              <a:ln>
                <a:noFill/>
              </a:ln>
              <a:effectLst/>
            </c:spPr>
            <c:txPr>
              <a:bodyPr wrap="square" lIns="38100" tIns="19050" rIns="38100" bIns="19050" anchor="ctr">
                <a:spAutoFit/>
              </a:bodyPr>
              <a:lstStyle/>
              <a:p>
                <a:pPr>
                  <a:defRPr sz="600">
                    <a:latin typeface="Arial Narrow" panose="020B0606020202030204" pitchFamily="34" charset="0"/>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1"/>
              </c:ext>
            </c:extLst>
          </c:dLbls>
          <c:cat>
            <c:strLit>
              <c:ptCount val="6"/>
              <c:pt idx="0">
                <c:v>Psychological therapies delivered by a psychologist</c:v>
              </c:pt>
              <c:pt idx="1">
                <c:v>Psychological therapies delivered by a mental health professional other than psychologists</c:v>
              </c:pt>
              <c:pt idx="2">
                <c:v>Counselling</c:v>
              </c:pt>
              <c:pt idx="3">
                <c:v>Alcohol counselling</c:v>
              </c:pt>
              <c:pt idx="4">
                <c:v>Drug or substance abuse counselling</c:v>
              </c:pt>
              <c:pt idx="5">
                <c:v>Outpatient services</c:v>
              </c:pt>
            </c:strLit>
          </c:cat>
          <c:val>
            <c:numLit>
              <c:formatCode>General</c:formatCode>
              <c:ptCount val="6"/>
              <c:pt idx="0">
                <c:v>1</c:v>
              </c:pt>
              <c:pt idx="1">
                <c:v>1</c:v>
              </c:pt>
              <c:pt idx="2">
                <c:v>1</c:v>
              </c:pt>
              <c:pt idx="3">
                <c:v>1</c:v>
              </c:pt>
              <c:pt idx="4">
                <c:v>1</c:v>
              </c:pt>
              <c:pt idx="5">
                <c:v>1</c:v>
              </c:pt>
            </c:numLit>
          </c:val>
          <c:extLst>
            <c:ext xmlns:c16="http://schemas.microsoft.com/office/drawing/2014/chart" uri="{C3380CC4-5D6E-409C-BE32-E72D297353CC}">
              <c16:uniqueId val="{00000013-22B0-484E-9891-5F7D5BC045D4}"/>
            </c:ext>
          </c:extLst>
        </c:ser>
        <c:ser>
          <c:idx val="4"/>
          <c:order val="4"/>
          <c:tx>
            <c:v>CHE</c:v>
          </c:tx>
          <c:spPr>
            <a:solidFill>
              <a:srgbClr val="7FA8D9"/>
            </a:solidFill>
            <a:ln w="6350" cmpd="sng">
              <a:solidFill>
                <a:srgbClr val="000000"/>
              </a:solidFill>
            </a:ln>
            <a:effectLst/>
          </c:spPr>
          <c:invertIfNegative val="0"/>
          <c:dLbls>
            <c:spPr>
              <a:noFill/>
              <a:ln>
                <a:noFill/>
              </a:ln>
              <a:effectLst/>
            </c:spPr>
            <c:txPr>
              <a:bodyPr wrap="square" lIns="38100" tIns="19050" rIns="38100" bIns="19050" anchor="ctr">
                <a:spAutoFit/>
              </a:bodyPr>
              <a:lstStyle/>
              <a:p>
                <a:pPr>
                  <a:defRPr sz="600">
                    <a:latin typeface="Arial Narrow" panose="020B0606020202030204" pitchFamily="34" charset="0"/>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1"/>
              </c:ext>
            </c:extLst>
          </c:dLbls>
          <c:cat>
            <c:strLit>
              <c:ptCount val="6"/>
              <c:pt idx="0">
                <c:v>Psychological therapies delivered by a psychologist</c:v>
              </c:pt>
              <c:pt idx="1">
                <c:v>Psychological therapies delivered by a mental health professional other than psychologists</c:v>
              </c:pt>
              <c:pt idx="2">
                <c:v>Counselling</c:v>
              </c:pt>
              <c:pt idx="3">
                <c:v>Alcohol counselling</c:v>
              </c:pt>
              <c:pt idx="4">
                <c:v>Drug or substance abuse counselling</c:v>
              </c:pt>
              <c:pt idx="5">
                <c:v>Outpatient services</c:v>
              </c:pt>
            </c:strLit>
          </c:cat>
          <c:val>
            <c:numLit>
              <c:formatCode>General</c:formatCode>
              <c:ptCount val="6"/>
              <c:pt idx="0">
                <c:v>1</c:v>
              </c:pt>
              <c:pt idx="1">
                <c:v>1</c:v>
              </c:pt>
              <c:pt idx="2">
                <c:v>1</c:v>
              </c:pt>
              <c:pt idx="3">
                <c:v>1</c:v>
              </c:pt>
              <c:pt idx="4">
                <c:v>1</c:v>
              </c:pt>
              <c:pt idx="5">
                <c:v>1</c:v>
              </c:pt>
            </c:numLit>
          </c:val>
          <c:extLst>
            <c:ext xmlns:c16="http://schemas.microsoft.com/office/drawing/2014/chart" uri="{C3380CC4-5D6E-409C-BE32-E72D297353CC}">
              <c16:uniqueId val="{00000014-22B0-484E-9891-5F7D5BC045D4}"/>
            </c:ext>
          </c:extLst>
        </c:ser>
        <c:ser>
          <c:idx val="5"/>
          <c:order val="5"/>
          <c:tx>
            <c:v>CZE</c:v>
          </c:tx>
          <c:spPr>
            <a:solidFill>
              <a:srgbClr val="006BB6"/>
            </a:solidFill>
            <a:ln w="6350" cmpd="sng">
              <a:solidFill>
                <a:sysClr val="windowText" lastClr="000000"/>
              </a:solidFill>
            </a:ln>
            <a:effectLst/>
          </c:spPr>
          <c:invertIfNegative val="0"/>
          <c:dLbls>
            <c:spPr>
              <a:noFill/>
              <a:ln>
                <a:noFill/>
              </a:ln>
              <a:effectLst/>
            </c:spPr>
            <c:txPr>
              <a:bodyPr wrap="square" lIns="38100" tIns="19050" rIns="38100" bIns="19050" anchor="ctr">
                <a:spAutoFit/>
              </a:bodyPr>
              <a:lstStyle/>
              <a:p>
                <a:pPr>
                  <a:defRPr sz="600">
                    <a:latin typeface="Arial Narrow" panose="020B0606020202030204" pitchFamily="34" charset="0"/>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1"/>
              </c:ext>
            </c:extLst>
          </c:dLbls>
          <c:cat>
            <c:strLit>
              <c:ptCount val="6"/>
              <c:pt idx="0">
                <c:v>Psychological therapies delivered by a psychologist</c:v>
              </c:pt>
              <c:pt idx="1">
                <c:v>Psychological therapies delivered by a mental health professional other than psychologists</c:v>
              </c:pt>
              <c:pt idx="2">
                <c:v>Counselling</c:v>
              </c:pt>
              <c:pt idx="3">
                <c:v>Alcohol counselling</c:v>
              </c:pt>
              <c:pt idx="4">
                <c:v>Drug or substance abuse counselling</c:v>
              </c:pt>
              <c:pt idx="5">
                <c:v>Outpatient services</c:v>
              </c:pt>
            </c:strLit>
          </c:cat>
          <c:val>
            <c:numLit>
              <c:formatCode>General</c:formatCode>
              <c:ptCount val="6"/>
              <c:pt idx="0">
                <c:v>1</c:v>
              </c:pt>
              <c:pt idx="1">
                <c:v>1</c:v>
              </c:pt>
              <c:pt idx="2">
                <c:v>1</c:v>
              </c:pt>
              <c:pt idx="3">
                <c:v>1</c:v>
              </c:pt>
              <c:pt idx="4">
                <c:v>1</c:v>
              </c:pt>
              <c:pt idx="5">
                <c:v>1</c:v>
              </c:pt>
            </c:numLit>
          </c:val>
          <c:extLst>
            <c:ext xmlns:c16="http://schemas.microsoft.com/office/drawing/2014/chart" uri="{C3380CC4-5D6E-409C-BE32-E72D297353CC}">
              <c16:uniqueId val="{00000015-22B0-484E-9891-5F7D5BC045D4}"/>
            </c:ext>
          </c:extLst>
        </c:ser>
        <c:ser>
          <c:idx val="6"/>
          <c:order val="6"/>
          <c:tx>
            <c:v>DEN</c:v>
          </c:tx>
          <c:spPr>
            <a:solidFill>
              <a:srgbClr val="7FA8D9"/>
            </a:solidFill>
            <a:ln w="6350">
              <a:solidFill>
                <a:sysClr val="windowText" lastClr="000000"/>
              </a:solidFill>
            </a:ln>
          </c:spPr>
          <c:invertIfNegative val="0"/>
          <c:dPt>
            <c:idx val="0"/>
            <c:invertIfNegative val="0"/>
            <c:bubble3D val="0"/>
            <c:extLst>
              <c:ext xmlns:c16="http://schemas.microsoft.com/office/drawing/2014/chart" uri="{C3380CC4-5D6E-409C-BE32-E72D297353CC}">
                <c16:uniqueId val="{00000016-22B0-484E-9891-5F7D5BC045D4}"/>
              </c:ext>
            </c:extLst>
          </c:dPt>
          <c:dPt>
            <c:idx val="1"/>
            <c:invertIfNegative val="0"/>
            <c:bubble3D val="0"/>
            <c:extLst>
              <c:ext xmlns:c16="http://schemas.microsoft.com/office/drawing/2014/chart" uri="{C3380CC4-5D6E-409C-BE32-E72D297353CC}">
                <c16:uniqueId val="{00000017-22B0-484E-9891-5F7D5BC045D4}"/>
              </c:ext>
            </c:extLst>
          </c:dPt>
          <c:dPt>
            <c:idx val="3"/>
            <c:invertIfNegative val="0"/>
            <c:bubble3D val="0"/>
            <c:spPr>
              <a:solidFill>
                <a:srgbClr val="006BB6"/>
              </a:solidFill>
              <a:ln w="6350">
                <a:solidFill>
                  <a:sysClr val="windowText" lastClr="000000"/>
                </a:solidFill>
              </a:ln>
            </c:spPr>
            <c:extLst>
              <c:ext xmlns:c16="http://schemas.microsoft.com/office/drawing/2014/chart" uri="{C3380CC4-5D6E-409C-BE32-E72D297353CC}">
                <c16:uniqueId val="{00000019-22B0-484E-9891-5F7D5BC045D4}"/>
              </c:ext>
            </c:extLst>
          </c:dPt>
          <c:dPt>
            <c:idx val="4"/>
            <c:invertIfNegative val="0"/>
            <c:bubble3D val="0"/>
            <c:spPr>
              <a:solidFill>
                <a:srgbClr val="006BB6"/>
              </a:solidFill>
              <a:ln w="6350">
                <a:solidFill>
                  <a:sysClr val="windowText" lastClr="000000"/>
                </a:solidFill>
              </a:ln>
            </c:spPr>
            <c:extLst>
              <c:ext xmlns:c16="http://schemas.microsoft.com/office/drawing/2014/chart" uri="{C3380CC4-5D6E-409C-BE32-E72D297353CC}">
                <c16:uniqueId val="{0000001B-22B0-484E-9891-5F7D5BC045D4}"/>
              </c:ext>
            </c:extLst>
          </c:dPt>
          <c:dPt>
            <c:idx val="5"/>
            <c:invertIfNegative val="0"/>
            <c:bubble3D val="0"/>
            <c:spPr>
              <a:solidFill>
                <a:srgbClr val="006BB6"/>
              </a:solidFill>
              <a:ln w="6350">
                <a:solidFill>
                  <a:sysClr val="windowText" lastClr="000000"/>
                </a:solidFill>
              </a:ln>
            </c:spPr>
            <c:extLst>
              <c:ext xmlns:c16="http://schemas.microsoft.com/office/drawing/2014/chart" uri="{C3380CC4-5D6E-409C-BE32-E72D297353CC}">
                <c16:uniqueId val="{0000001D-22B0-484E-9891-5F7D5BC045D4}"/>
              </c:ext>
            </c:extLst>
          </c:dPt>
          <c:dLbls>
            <c:spPr>
              <a:noFill/>
              <a:ln>
                <a:noFill/>
              </a:ln>
              <a:effectLst/>
            </c:spPr>
            <c:txPr>
              <a:bodyPr wrap="square" lIns="38100" tIns="19050" rIns="38100" bIns="19050" anchor="ctr">
                <a:spAutoFit/>
              </a:bodyPr>
              <a:lstStyle/>
              <a:p>
                <a:pPr>
                  <a:defRPr sz="600">
                    <a:latin typeface="Arial Narrow" panose="020B0606020202030204" pitchFamily="34" charset="0"/>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1"/>
              </c:ext>
            </c:extLst>
          </c:dLbls>
          <c:cat>
            <c:strLit>
              <c:ptCount val="6"/>
              <c:pt idx="0">
                <c:v>Psychological therapies delivered by a psychologist</c:v>
              </c:pt>
              <c:pt idx="1">
                <c:v>Psychological therapies delivered by a mental health professional other than psychologists</c:v>
              </c:pt>
              <c:pt idx="2">
                <c:v>Counselling</c:v>
              </c:pt>
              <c:pt idx="3">
                <c:v>Alcohol counselling</c:v>
              </c:pt>
              <c:pt idx="4">
                <c:v>Drug or substance abuse counselling</c:v>
              </c:pt>
              <c:pt idx="5">
                <c:v>Outpatient services</c:v>
              </c:pt>
            </c:strLit>
          </c:cat>
          <c:val>
            <c:numLit>
              <c:formatCode>General</c:formatCode>
              <c:ptCount val="6"/>
              <c:pt idx="0">
                <c:v>1</c:v>
              </c:pt>
              <c:pt idx="1">
                <c:v>1</c:v>
              </c:pt>
              <c:pt idx="3">
                <c:v>1</c:v>
              </c:pt>
              <c:pt idx="4">
                <c:v>1</c:v>
              </c:pt>
              <c:pt idx="5">
                <c:v>1</c:v>
              </c:pt>
            </c:numLit>
          </c:val>
          <c:extLst>
            <c:ext xmlns:c16="http://schemas.microsoft.com/office/drawing/2014/chart" uri="{C3380CC4-5D6E-409C-BE32-E72D297353CC}">
              <c16:uniqueId val="{0000001E-22B0-484E-9891-5F7D5BC045D4}"/>
            </c:ext>
          </c:extLst>
        </c:ser>
        <c:ser>
          <c:idx val="7"/>
          <c:order val="7"/>
          <c:tx>
            <c:v>EST</c:v>
          </c:tx>
          <c:spPr>
            <a:solidFill>
              <a:srgbClr val="7FA8D9"/>
            </a:solidFill>
            <a:ln w="6350">
              <a:solidFill>
                <a:sysClr val="windowText" lastClr="000000"/>
              </a:solidFill>
            </a:ln>
          </c:spPr>
          <c:invertIfNegative val="0"/>
          <c:dPt>
            <c:idx val="0"/>
            <c:invertIfNegative val="0"/>
            <c:bubble3D val="0"/>
            <c:extLst>
              <c:ext xmlns:c16="http://schemas.microsoft.com/office/drawing/2014/chart" uri="{C3380CC4-5D6E-409C-BE32-E72D297353CC}">
                <c16:uniqueId val="{0000001F-22B0-484E-9891-5F7D5BC045D4}"/>
              </c:ext>
            </c:extLst>
          </c:dPt>
          <c:dPt>
            <c:idx val="1"/>
            <c:invertIfNegative val="0"/>
            <c:bubble3D val="0"/>
            <c:extLst>
              <c:ext xmlns:c16="http://schemas.microsoft.com/office/drawing/2014/chart" uri="{C3380CC4-5D6E-409C-BE32-E72D297353CC}">
                <c16:uniqueId val="{00000020-22B0-484E-9891-5F7D5BC045D4}"/>
              </c:ext>
            </c:extLst>
          </c:dPt>
          <c:dPt>
            <c:idx val="3"/>
            <c:invertIfNegative val="0"/>
            <c:bubble3D val="0"/>
            <c:spPr>
              <a:solidFill>
                <a:srgbClr val="006BB6"/>
              </a:solidFill>
              <a:ln w="6350">
                <a:solidFill>
                  <a:sysClr val="windowText" lastClr="000000"/>
                </a:solidFill>
              </a:ln>
            </c:spPr>
            <c:extLst>
              <c:ext xmlns:c16="http://schemas.microsoft.com/office/drawing/2014/chart" uri="{C3380CC4-5D6E-409C-BE32-E72D297353CC}">
                <c16:uniqueId val="{00000022-22B0-484E-9891-5F7D5BC045D4}"/>
              </c:ext>
            </c:extLst>
          </c:dPt>
          <c:dPt>
            <c:idx val="4"/>
            <c:invertIfNegative val="0"/>
            <c:bubble3D val="0"/>
            <c:spPr>
              <a:solidFill>
                <a:srgbClr val="006BB6"/>
              </a:solidFill>
              <a:ln w="6350">
                <a:solidFill>
                  <a:sysClr val="windowText" lastClr="000000"/>
                </a:solidFill>
              </a:ln>
            </c:spPr>
            <c:extLst>
              <c:ext xmlns:c16="http://schemas.microsoft.com/office/drawing/2014/chart" uri="{C3380CC4-5D6E-409C-BE32-E72D297353CC}">
                <c16:uniqueId val="{00000024-22B0-484E-9891-5F7D5BC045D4}"/>
              </c:ext>
            </c:extLst>
          </c:dPt>
          <c:dPt>
            <c:idx val="5"/>
            <c:invertIfNegative val="0"/>
            <c:bubble3D val="0"/>
            <c:spPr>
              <a:solidFill>
                <a:srgbClr val="006BB6"/>
              </a:solidFill>
              <a:ln w="6350">
                <a:solidFill>
                  <a:sysClr val="windowText" lastClr="000000"/>
                </a:solidFill>
              </a:ln>
            </c:spPr>
            <c:extLst>
              <c:ext xmlns:c16="http://schemas.microsoft.com/office/drawing/2014/chart" uri="{C3380CC4-5D6E-409C-BE32-E72D297353CC}">
                <c16:uniqueId val="{00000026-22B0-484E-9891-5F7D5BC045D4}"/>
              </c:ext>
            </c:extLst>
          </c:dPt>
          <c:dLbls>
            <c:dLbl>
              <c:idx val="2"/>
              <c:delete val="1"/>
              <c:extLst>
                <c:ext xmlns:c15="http://schemas.microsoft.com/office/drawing/2012/chart" uri="{CE6537A1-D6FC-4f65-9D91-7224C49458BB}"/>
                <c:ext xmlns:c16="http://schemas.microsoft.com/office/drawing/2014/chart" uri="{C3380CC4-5D6E-409C-BE32-E72D297353CC}">
                  <c16:uniqueId val="{00000027-22B0-484E-9891-5F7D5BC045D4}"/>
                </c:ext>
              </c:extLst>
            </c:dLbl>
            <c:spPr>
              <a:noFill/>
              <a:ln>
                <a:noFill/>
              </a:ln>
              <a:effectLst/>
            </c:spPr>
            <c:txPr>
              <a:bodyPr wrap="square" lIns="38100" tIns="19050" rIns="38100" bIns="19050" anchor="ctr">
                <a:spAutoFit/>
              </a:bodyPr>
              <a:lstStyle/>
              <a:p>
                <a:pPr>
                  <a:defRPr sz="600">
                    <a:latin typeface="Arial Narrow" panose="020B0606020202030204" pitchFamily="34" charset="0"/>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1"/>
              </c:ext>
            </c:extLst>
          </c:dLbls>
          <c:cat>
            <c:strLit>
              <c:ptCount val="6"/>
              <c:pt idx="0">
                <c:v>Psychological therapies delivered by a psychologist</c:v>
              </c:pt>
              <c:pt idx="1">
                <c:v>Psychological therapies delivered by a mental health professional other than psychologists</c:v>
              </c:pt>
              <c:pt idx="2">
                <c:v>Counselling</c:v>
              </c:pt>
              <c:pt idx="3">
                <c:v>Alcohol counselling</c:v>
              </c:pt>
              <c:pt idx="4">
                <c:v>Drug or substance abuse counselling</c:v>
              </c:pt>
              <c:pt idx="5">
                <c:v>Outpatient services</c:v>
              </c:pt>
            </c:strLit>
          </c:cat>
          <c:val>
            <c:numLit>
              <c:formatCode>General</c:formatCode>
              <c:ptCount val="6"/>
              <c:pt idx="0">
                <c:v>1</c:v>
              </c:pt>
              <c:pt idx="1">
                <c:v>1</c:v>
              </c:pt>
              <c:pt idx="2">
                <c:v>0</c:v>
              </c:pt>
              <c:pt idx="3">
                <c:v>1</c:v>
              </c:pt>
              <c:pt idx="4">
                <c:v>1</c:v>
              </c:pt>
              <c:pt idx="5">
                <c:v>1</c:v>
              </c:pt>
            </c:numLit>
          </c:val>
          <c:extLst>
            <c:ext xmlns:c16="http://schemas.microsoft.com/office/drawing/2014/chart" uri="{C3380CC4-5D6E-409C-BE32-E72D297353CC}">
              <c16:uniqueId val="{00000028-22B0-484E-9891-5F7D5BC045D4}"/>
            </c:ext>
          </c:extLst>
        </c:ser>
        <c:ser>
          <c:idx val="8"/>
          <c:order val="8"/>
          <c:tx>
            <c:v>GBR</c:v>
          </c:tx>
          <c:spPr>
            <a:solidFill>
              <a:srgbClr val="006BB6"/>
            </a:solidFill>
            <a:ln w="6350">
              <a:solidFill>
                <a:sysClr val="windowText" lastClr="000000"/>
              </a:solidFill>
            </a:ln>
          </c:spPr>
          <c:invertIfNegative val="0"/>
          <c:dLbls>
            <c:spPr>
              <a:noFill/>
              <a:ln>
                <a:noFill/>
              </a:ln>
              <a:effectLst/>
            </c:spPr>
            <c:txPr>
              <a:bodyPr wrap="square" lIns="38100" tIns="19050" rIns="38100" bIns="19050" anchor="ctr">
                <a:spAutoFit/>
              </a:bodyPr>
              <a:lstStyle/>
              <a:p>
                <a:pPr>
                  <a:defRPr sz="600">
                    <a:latin typeface="Arial Narrow" panose="020B0606020202030204" pitchFamily="34" charset="0"/>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1"/>
              </c:ext>
            </c:extLst>
          </c:dLbls>
          <c:cat>
            <c:strLit>
              <c:ptCount val="6"/>
              <c:pt idx="0">
                <c:v>Psychological therapies delivered by a psychologist</c:v>
              </c:pt>
              <c:pt idx="1">
                <c:v>Psychological therapies delivered by a mental health professional other than psychologists</c:v>
              </c:pt>
              <c:pt idx="2">
                <c:v>Counselling</c:v>
              </c:pt>
              <c:pt idx="3">
                <c:v>Alcohol counselling</c:v>
              </c:pt>
              <c:pt idx="4">
                <c:v>Drug or substance abuse counselling</c:v>
              </c:pt>
              <c:pt idx="5">
                <c:v>Outpatient services</c:v>
              </c:pt>
            </c:strLit>
          </c:cat>
          <c:val>
            <c:numLit>
              <c:formatCode>General</c:formatCode>
              <c:ptCount val="6"/>
              <c:pt idx="0">
                <c:v>1</c:v>
              </c:pt>
              <c:pt idx="1">
                <c:v>1</c:v>
              </c:pt>
              <c:pt idx="2">
                <c:v>1</c:v>
              </c:pt>
              <c:pt idx="3">
                <c:v>1</c:v>
              </c:pt>
              <c:pt idx="4">
                <c:v>1</c:v>
              </c:pt>
              <c:pt idx="5">
                <c:v>1</c:v>
              </c:pt>
            </c:numLit>
          </c:val>
          <c:extLst>
            <c:ext xmlns:c16="http://schemas.microsoft.com/office/drawing/2014/chart" uri="{C3380CC4-5D6E-409C-BE32-E72D297353CC}">
              <c16:uniqueId val="{00000029-22B0-484E-9891-5F7D5BC045D4}"/>
            </c:ext>
          </c:extLst>
        </c:ser>
        <c:ser>
          <c:idx val="9"/>
          <c:order val="9"/>
          <c:tx>
            <c:v>GRC</c:v>
          </c:tx>
          <c:spPr>
            <a:solidFill>
              <a:srgbClr val="4F81BD"/>
            </a:solidFill>
            <a:ln w="6350">
              <a:solidFill>
                <a:sysClr val="windowText" lastClr="000000"/>
              </a:solidFill>
            </a:ln>
          </c:spPr>
          <c:invertIfNegative val="0"/>
          <c:dPt>
            <c:idx val="2"/>
            <c:invertIfNegative val="0"/>
            <c:bubble3D val="0"/>
            <c:spPr>
              <a:solidFill>
                <a:srgbClr val="7FA8D9"/>
              </a:solidFill>
              <a:ln w="6350">
                <a:solidFill>
                  <a:sysClr val="windowText" lastClr="000000"/>
                </a:solidFill>
              </a:ln>
            </c:spPr>
            <c:extLst>
              <c:ext xmlns:c16="http://schemas.microsoft.com/office/drawing/2014/chart" uri="{C3380CC4-5D6E-409C-BE32-E72D297353CC}">
                <c16:uniqueId val="{0000002B-22B0-484E-9891-5F7D5BC045D4}"/>
              </c:ext>
            </c:extLst>
          </c:dPt>
          <c:dPt>
            <c:idx val="3"/>
            <c:invertIfNegative val="0"/>
            <c:bubble3D val="0"/>
            <c:spPr>
              <a:solidFill>
                <a:srgbClr val="006BB6"/>
              </a:solidFill>
              <a:ln w="6350">
                <a:solidFill>
                  <a:sysClr val="windowText" lastClr="000000"/>
                </a:solidFill>
              </a:ln>
            </c:spPr>
            <c:extLst>
              <c:ext xmlns:c16="http://schemas.microsoft.com/office/drawing/2014/chart" uri="{C3380CC4-5D6E-409C-BE32-E72D297353CC}">
                <c16:uniqueId val="{0000002D-22B0-484E-9891-5F7D5BC045D4}"/>
              </c:ext>
            </c:extLst>
          </c:dPt>
          <c:dPt>
            <c:idx val="4"/>
            <c:invertIfNegative val="0"/>
            <c:bubble3D val="0"/>
            <c:spPr>
              <a:solidFill>
                <a:srgbClr val="006BB6"/>
              </a:solidFill>
              <a:ln w="6350">
                <a:solidFill>
                  <a:sysClr val="windowText" lastClr="000000"/>
                </a:solidFill>
              </a:ln>
            </c:spPr>
            <c:extLst>
              <c:ext xmlns:c16="http://schemas.microsoft.com/office/drawing/2014/chart" uri="{C3380CC4-5D6E-409C-BE32-E72D297353CC}">
                <c16:uniqueId val="{0000002F-22B0-484E-9891-5F7D5BC045D4}"/>
              </c:ext>
            </c:extLst>
          </c:dPt>
          <c:dPt>
            <c:idx val="5"/>
            <c:invertIfNegative val="0"/>
            <c:bubble3D val="0"/>
            <c:spPr>
              <a:solidFill>
                <a:srgbClr val="7FA8D9"/>
              </a:solidFill>
              <a:ln w="6350">
                <a:solidFill>
                  <a:sysClr val="windowText" lastClr="000000"/>
                </a:solidFill>
              </a:ln>
            </c:spPr>
            <c:extLst>
              <c:ext xmlns:c16="http://schemas.microsoft.com/office/drawing/2014/chart" uri="{C3380CC4-5D6E-409C-BE32-E72D297353CC}">
                <c16:uniqueId val="{00000031-22B0-484E-9891-5F7D5BC045D4}"/>
              </c:ext>
            </c:extLst>
          </c:dPt>
          <c:dLbls>
            <c:spPr>
              <a:noFill/>
              <a:ln>
                <a:noFill/>
              </a:ln>
              <a:effectLst/>
            </c:spPr>
            <c:txPr>
              <a:bodyPr wrap="square" lIns="38100" tIns="19050" rIns="38100" bIns="19050" anchor="ctr">
                <a:spAutoFit/>
              </a:bodyPr>
              <a:lstStyle/>
              <a:p>
                <a:pPr>
                  <a:defRPr sz="800" b="1">
                    <a:latin typeface="Arial Narrow" panose="020B0606020202030204" pitchFamily="34" charset="0"/>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1"/>
              </c:ext>
            </c:extLst>
          </c:dLbls>
          <c:cat>
            <c:strLit>
              <c:ptCount val="6"/>
              <c:pt idx="0">
                <c:v>Psychological therapies delivered by a psychologist</c:v>
              </c:pt>
              <c:pt idx="1">
                <c:v>Psychological therapies delivered by a mental health professional other than psychologists</c:v>
              </c:pt>
              <c:pt idx="2">
                <c:v>Counselling</c:v>
              </c:pt>
              <c:pt idx="3">
                <c:v>Alcohol counselling</c:v>
              </c:pt>
              <c:pt idx="4">
                <c:v>Drug or substance abuse counselling</c:v>
              </c:pt>
              <c:pt idx="5">
                <c:v>Outpatient services</c:v>
              </c:pt>
            </c:strLit>
          </c:cat>
          <c:val>
            <c:numLit>
              <c:formatCode>General</c:formatCode>
              <c:ptCount val="6"/>
              <c:pt idx="2">
                <c:v>1</c:v>
              </c:pt>
              <c:pt idx="3">
                <c:v>1</c:v>
              </c:pt>
              <c:pt idx="4">
                <c:v>1</c:v>
              </c:pt>
              <c:pt idx="5">
                <c:v>1</c:v>
              </c:pt>
            </c:numLit>
          </c:val>
          <c:extLst>
            <c:ext xmlns:c16="http://schemas.microsoft.com/office/drawing/2014/chart" uri="{C3380CC4-5D6E-409C-BE32-E72D297353CC}">
              <c16:uniqueId val="{00000032-22B0-484E-9891-5F7D5BC045D4}"/>
            </c:ext>
          </c:extLst>
        </c:ser>
        <c:ser>
          <c:idx val="11"/>
          <c:order val="10"/>
          <c:tx>
            <c:v>IRL</c:v>
          </c:tx>
          <c:spPr>
            <a:solidFill>
              <a:srgbClr val="006BB6"/>
            </a:solidFill>
            <a:ln w="6350">
              <a:solidFill>
                <a:sysClr val="windowText" lastClr="000000"/>
              </a:solidFill>
            </a:ln>
          </c:spPr>
          <c:invertIfNegative val="0"/>
          <c:dLbls>
            <c:spPr>
              <a:noFill/>
              <a:ln>
                <a:noFill/>
              </a:ln>
              <a:effectLst/>
            </c:spPr>
            <c:txPr>
              <a:bodyPr wrap="square" lIns="38100" tIns="19050" rIns="38100" bIns="19050" anchor="ctr">
                <a:spAutoFit/>
              </a:bodyPr>
              <a:lstStyle/>
              <a:p>
                <a:pPr>
                  <a:defRPr sz="600">
                    <a:latin typeface="Arial Narrow" panose="020B0606020202030204" pitchFamily="34" charset="0"/>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1"/>
              </c:ext>
            </c:extLst>
          </c:dLbls>
          <c:cat>
            <c:strLit>
              <c:ptCount val="6"/>
              <c:pt idx="0">
                <c:v>Psychological therapies delivered by a psychologist</c:v>
              </c:pt>
              <c:pt idx="1">
                <c:v>Psychological therapies delivered by a mental health professional other than psychologists</c:v>
              </c:pt>
              <c:pt idx="2">
                <c:v>Counselling</c:v>
              </c:pt>
              <c:pt idx="3">
                <c:v>Alcohol counselling</c:v>
              </c:pt>
              <c:pt idx="4">
                <c:v>Drug or substance abuse counselling</c:v>
              </c:pt>
              <c:pt idx="5">
                <c:v>Outpatient services</c:v>
              </c:pt>
            </c:strLit>
          </c:cat>
          <c:val>
            <c:numLit>
              <c:formatCode>General</c:formatCode>
              <c:ptCount val="6"/>
              <c:pt idx="0">
                <c:v>1</c:v>
              </c:pt>
              <c:pt idx="1">
                <c:v>1</c:v>
              </c:pt>
              <c:pt idx="2">
                <c:v>1</c:v>
              </c:pt>
              <c:pt idx="3">
                <c:v>1</c:v>
              </c:pt>
              <c:pt idx="4">
                <c:v>1</c:v>
              </c:pt>
              <c:pt idx="5">
                <c:v>1</c:v>
              </c:pt>
            </c:numLit>
          </c:val>
          <c:extLst>
            <c:ext xmlns:c16="http://schemas.microsoft.com/office/drawing/2014/chart" uri="{C3380CC4-5D6E-409C-BE32-E72D297353CC}">
              <c16:uniqueId val="{00000033-22B0-484E-9891-5F7D5BC045D4}"/>
            </c:ext>
          </c:extLst>
        </c:ser>
        <c:ser>
          <c:idx val="10"/>
          <c:order val="11"/>
          <c:tx>
            <c:v>ISL</c:v>
          </c:tx>
          <c:spPr>
            <a:solidFill>
              <a:srgbClr val="7FA8D9"/>
            </a:solidFill>
            <a:ln w="6350">
              <a:solidFill>
                <a:sysClr val="windowText" lastClr="000000"/>
              </a:solidFill>
            </a:ln>
          </c:spPr>
          <c:invertIfNegative val="0"/>
          <c:dLbls>
            <c:spPr>
              <a:noFill/>
              <a:ln>
                <a:noFill/>
              </a:ln>
              <a:effectLst/>
            </c:spPr>
            <c:txPr>
              <a:bodyPr wrap="square" lIns="38100" tIns="19050" rIns="38100" bIns="19050" anchor="ctr">
                <a:spAutoFit/>
              </a:bodyPr>
              <a:lstStyle/>
              <a:p>
                <a:pPr>
                  <a:defRPr sz="600">
                    <a:latin typeface="Arial Narrow" panose="020B0606020202030204" pitchFamily="34" charset="0"/>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1"/>
              </c:ext>
            </c:extLst>
          </c:dLbls>
          <c:cat>
            <c:strLit>
              <c:ptCount val="6"/>
              <c:pt idx="0">
                <c:v>Psychological therapies delivered by a psychologist</c:v>
              </c:pt>
              <c:pt idx="1">
                <c:v>Psychological therapies delivered by a mental health professional other than psychologists</c:v>
              </c:pt>
              <c:pt idx="2">
                <c:v>Counselling</c:v>
              </c:pt>
              <c:pt idx="3">
                <c:v>Alcohol counselling</c:v>
              </c:pt>
              <c:pt idx="4">
                <c:v>Drug or substance abuse counselling</c:v>
              </c:pt>
              <c:pt idx="5">
                <c:v>Outpatient services</c:v>
              </c:pt>
            </c:strLit>
          </c:cat>
          <c:val>
            <c:numLit>
              <c:formatCode>General</c:formatCode>
              <c:ptCount val="6"/>
              <c:pt idx="0">
                <c:v>1</c:v>
              </c:pt>
              <c:pt idx="1">
                <c:v>1</c:v>
              </c:pt>
              <c:pt idx="2">
                <c:v>1</c:v>
              </c:pt>
              <c:pt idx="3">
                <c:v>1</c:v>
              </c:pt>
              <c:pt idx="4">
                <c:v>1</c:v>
              </c:pt>
              <c:pt idx="5">
                <c:v>1</c:v>
              </c:pt>
            </c:numLit>
          </c:val>
          <c:extLst>
            <c:ext xmlns:c16="http://schemas.microsoft.com/office/drawing/2014/chart" uri="{C3380CC4-5D6E-409C-BE32-E72D297353CC}">
              <c16:uniqueId val="{00000034-22B0-484E-9891-5F7D5BC045D4}"/>
            </c:ext>
          </c:extLst>
        </c:ser>
        <c:ser>
          <c:idx val="12"/>
          <c:order val="12"/>
          <c:tx>
            <c:v>ISR</c:v>
          </c:tx>
          <c:spPr>
            <a:solidFill>
              <a:srgbClr val="006BB6"/>
            </a:solidFill>
            <a:ln w="6350">
              <a:solidFill>
                <a:sysClr val="windowText" lastClr="000000"/>
              </a:solidFill>
            </a:ln>
          </c:spPr>
          <c:invertIfNegative val="0"/>
          <c:dPt>
            <c:idx val="3"/>
            <c:invertIfNegative val="0"/>
            <c:bubble3D val="0"/>
            <c:spPr>
              <a:solidFill>
                <a:srgbClr val="7FA8D9"/>
              </a:solidFill>
              <a:ln w="6350">
                <a:solidFill>
                  <a:sysClr val="windowText" lastClr="000000"/>
                </a:solidFill>
              </a:ln>
            </c:spPr>
            <c:extLst>
              <c:ext xmlns:c16="http://schemas.microsoft.com/office/drawing/2014/chart" uri="{C3380CC4-5D6E-409C-BE32-E72D297353CC}">
                <c16:uniqueId val="{00000036-22B0-484E-9891-5F7D5BC045D4}"/>
              </c:ext>
            </c:extLst>
          </c:dPt>
          <c:dPt>
            <c:idx val="4"/>
            <c:invertIfNegative val="0"/>
            <c:bubble3D val="0"/>
            <c:spPr>
              <a:solidFill>
                <a:srgbClr val="7FA8D9"/>
              </a:solidFill>
              <a:ln w="6350">
                <a:solidFill>
                  <a:sysClr val="windowText" lastClr="000000"/>
                </a:solidFill>
              </a:ln>
            </c:spPr>
            <c:extLst>
              <c:ext xmlns:c16="http://schemas.microsoft.com/office/drawing/2014/chart" uri="{C3380CC4-5D6E-409C-BE32-E72D297353CC}">
                <c16:uniqueId val="{00000038-22B0-484E-9891-5F7D5BC045D4}"/>
              </c:ext>
            </c:extLst>
          </c:dPt>
          <c:dLbls>
            <c:spPr>
              <a:noFill/>
              <a:ln>
                <a:noFill/>
              </a:ln>
              <a:effectLst/>
            </c:spPr>
            <c:txPr>
              <a:bodyPr wrap="square" lIns="38100" tIns="19050" rIns="38100" bIns="19050" anchor="ctr">
                <a:spAutoFit/>
              </a:bodyPr>
              <a:lstStyle/>
              <a:p>
                <a:pPr>
                  <a:defRPr sz="600">
                    <a:latin typeface="Arial Narrow" panose="020B0606020202030204" pitchFamily="34" charset="0"/>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1"/>
              </c:ext>
            </c:extLst>
          </c:dLbls>
          <c:cat>
            <c:strLit>
              <c:ptCount val="6"/>
              <c:pt idx="0">
                <c:v>Psychological therapies delivered by a psychologist</c:v>
              </c:pt>
              <c:pt idx="1">
                <c:v>Psychological therapies delivered by a mental health professional other than psychologists</c:v>
              </c:pt>
              <c:pt idx="2">
                <c:v>Counselling</c:v>
              </c:pt>
              <c:pt idx="3">
                <c:v>Alcohol counselling</c:v>
              </c:pt>
              <c:pt idx="4">
                <c:v>Drug or substance abuse counselling</c:v>
              </c:pt>
              <c:pt idx="5">
                <c:v>Outpatient services</c:v>
              </c:pt>
            </c:strLit>
          </c:cat>
          <c:val>
            <c:numLit>
              <c:formatCode>General</c:formatCode>
              <c:ptCount val="6"/>
              <c:pt idx="0">
                <c:v>1</c:v>
              </c:pt>
              <c:pt idx="1">
                <c:v>1</c:v>
              </c:pt>
              <c:pt idx="2">
                <c:v>1</c:v>
              </c:pt>
              <c:pt idx="3">
                <c:v>1</c:v>
              </c:pt>
              <c:pt idx="4">
                <c:v>1</c:v>
              </c:pt>
              <c:pt idx="5">
                <c:v>1</c:v>
              </c:pt>
            </c:numLit>
          </c:val>
          <c:extLst>
            <c:ext xmlns:c16="http://schemas.microsoft.com/office/drawing/2014/chart" uri="{C3380CC4-5D6E-409C-BE32-E72D297353CC}">
              <c16:uniqueId val="{00000039-22B0-484E-9891-5F7D5BC045D4}"/>
            </c:ext>
          </c:extLst>
        </c:ser>
        <c:ser>
          <c:idx val="23"/>
          <c:order val="13"/>
          <c:tx>
            <c:v>ITA</c:v>
          </c:tx>
          <c:spPr>
            <a:solidFill>
              <a:srgbClr val="006BB6"/>
            </a:solidFill>
            <a:ln w="6350">
              <a:solidFill>
                <a:schemeClr val="tx1"/>
              </a:solidFill>
            </a:ln>
          </c:spPr>
          <c:invertIfNegative val="0"/>
          <c:dLbls>
            <c:spPr>
              <a:noFill/>
              <a:ln>
                <a:noFill/>
              </a:ln>
              <a:effectLst/>
            </c:spPr>
            <c:txPr>
              <a:bodyPr wrap="square" lIns="38100" tIns="19050" rIns="38100" bIns="19050" anchor="ctr">
                <a:spAutoFit/>
              </a:bodyPr>
              <a:lstStyle/>
              <a:p>
                <a:pPr>
                  <a:defRPr sz="600">
                    <a:latin typeface="Arial Narrow" panose="020B0606020202030204" pitchFamily="34" charset="0"/>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1"/>
              </c:ext>
            </c:extLst>
          </c:dLbls>
          <c:val>
            <c:numLit>
              <c:formatCode>General</c:formatCode>
              <c:ptCount val="6"/>
              <c:pt idx="0">
                <c:v>1</c:v>
              </c:pt>
              <c:pt idx="1">
                <c:v>1</c:v>
              </c:pt>
              <c:pt idx="2">
                <c:v>1</c:v>
              </c:pt>
              <c:pt idx="3">
                <c:v>1</c:v>
              </c:pt>
              <c:pt idx="4">
                <c:v>1</c:v>
              </c:pt>
              <c:pt idx="5">
                <c:v>1</c:v>
              </c:pt>
            </c:numLit>
          </c:val>
          <c:extLst>
            <c:ext xmlns:c16="http://schemas.microsoft.com/office/drawing/2014/chart" uri="{C3380CC4-5D6E-409C-BE32-E72D297353CC}">
              <c16:uniqueId val="{0000003A-22B0-484E-9891-5F7D5BC045D4}"/>
            </c:ext>
          </c:extLst>
        </c:ser>
        <c:ser>
          <c:idx val="24"/>
          <c:order val="14"/>
          <c:tx>
            <c:v>JPN</c:v>
          </c:tx>
          <c:spPr>
            <a:solidFill>
              <a:srgbClr val="7FA8D9"/>
            </a:solidFill>
            <a:ln w="6350">
              <a:solidFill>
                <a:srgbClr val="000000"/>
              </a:solidFill>
            </a:ln>
          </c:spPr>
          <c:invertIfNegative val="0"/>
          <c:dLbls>
            <c:spPr>
              <a:noFill/>
              <a:ln>
                <a:noFill/>
              </a:ln>
              <a:effectLst/>
            </c:spPr>
            <c:txPr>
              <a:bodyPr wrap="square" lIns="38100" tIns="19050" rIns="38100" bIns="19050" anchor="ctr">
                <a:spAutoFit/>
              </a:bodyPr>
              <a:lstStyle/>
              <a:p>
                <a:pPr>
                  <a:defRPr sz="600">
                    <a:latin typeface="Arial Narrow" panose="020B0606020202030204" pitchFamily="34" charset="0"/>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1"/>
              </c:ext>
            </c:extLst>
          </c:dLbls>
          <c:val>
            <c:numLit>
              <c:formatCode>General</c:formatCode>
              <c:ptCount val="6"/>
              <c:pt idx="0">
                <c:v>1</c:v>
              </c:pt>
              <c:pt idx="1">
                <c:v>1</c:v>
              </c:pt>
              <c:pt idx="2">
                <c:v>1</c:v>
              </c:pt>
              <c:pt idx="3">
                <c:v>1</c:v>
              </c:pt>
              <c:pt idx="4">
                <c:v>1</c:v>
              </c:pt>
              <c:pt idx="5">
                <c:v>1</c:v>
              </c:pt>
            </c:numLit>
          </c:val>
          <c:extLst>
            <c:ext xmlns:c16="http://schemas.microsoft.com/office/drawing/2014/chart" uri="{C3380CC4-5D6E-409C-BE32-E72D297353CC}">
              <c16:uniqueId val="{0000003B-22B0-484E-9891-5F7D5BC045D4}"/>
            </c:ext>
          </c:extLst>
        </c:ser>
        <c:ser>
          <c:idx val="14"/>
          <c:order val="16"/>
          <c:tx>
            <c:v>KOR</c:v>
          </c:tx>
          <c:spPr>
            <a:solidFill>
              <a:srgbClr val="006BB6"/>
            </a:solidFill>
            <a:ln w="6350">
              <a:solidFill>
                <a:sysClr val="windowText" lastClr="000000"/>
              </a:solidFill>
            </a:ln>
          </c:spPr>
          <c:invertIfNegative val="0"/>
          <c:dPt>
            <c:idx val="2"/>
            <c:invertIfNegative val="0"/>
            <c:bubble3D val="0"/>
            <c:spPr>
              <a:solidFill>
                <a:srgbClr val="7FA8D9"/>
              </a:solidFill>
              <a:ln w="6350">
                <a:solidFill>
                  <a:sysClr val="windowText" lastClr="000000"/>
                </a:solidFill>
              </a:ln>
            </c:spPr>
            <c:extLst>
              <c:ext xmlns:c16="http://schemas.microsoft.com/office/drawing/2014/chart" uri="{C3380CC4-5D6E-409C-BE32-E72D297353CC}">
                <c16:uniqueId val="{0000003D-22B0-484E-9891-5F7D5BC045D4}"/>
              </c:ext>
            </c:extLst>
          </c:dPt>
          <c:dLbls>
            <c:spPr>
              <a:noFill/>
              <a:ln>
                <a:noFill/>
              </a:ln>
              <a:effectLst/>
            </c:spPr>
            <c:txPr>
              <a:bodyPr wrap="square" lIns="38100" tIns="19050" rIns="38100" bIns="19050" anchor="ctr">
                <a:spAutoFit/>
              </a:bodyPr>
              <a:lstStyle/>
              <a:p>
                <a:pPr>
                  <a:defRPr sz="600">
                    <a:latin typeface="Arial Narrow" panose="020B0606020202030204" pitchFamily="34" charset="0"/>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1"/>
              </c:ext>
            </c:extLst>
          </c:dLbls>
          <c:cat>
            <c:strLit>
              <c:ptCount val="6"/>
              <c:pt idx="0">
                <c:v>Psychological therapies delivered by a psychologist</c:v>
              </c:pt>
              <c:pt idx="1">
                <c:v>Psychological therapies delivered by a mental health professional other than psychologists</c:v>
              </c:pt>
              <c:pt idx="2">
                <c:v>Counselling</c:v>
              </c:pt>
              <c:pt idx="3">
                <c:v>Alcohol counselling</c:v>
              </c:pt>
              <c:pt idx="4">
                <c:v>Drug or substance abuse counselling</c:v>
              </c:pt>
              <c:pt idx="5">
                <c:v>Outpatient services</c:v>
              </c:pt>
            </c:strLit>
          </c:cat>
          <c:val>
            <c:numLit>
              <c:formatCode>General</c:formatCode>
              <c:ptCount val="6"/>
              <c:pt idx="0">
                <c:v>1</c:v>
              </c:pt>
              <c:pt idx="1">
                <c:v>1</c:v>
              </c:pt>
              <c:pt idx="2">
                <c:v>1</c:v>
              </c:pt>
              <c:pt idx="3">
                <c:v>1</c:v>
              </c:pt>
              <c:pt idx="4">
                <c:v>1</c:v>
              </c:pt>
              <c:pt idx="5">
                <c:v>1</c:v>
              </c:pt>
            </c:numLit>
          </c:val>
          <c:extLst>
            <c:ext xmlns:c16="http://schemas.microsoft.com/office/drawing/2014/chart" uri="{C3380CC4-5D6E-409C-BE32-E72D297353CC}">
              <c16:uniqueId val="{0000003E-22B0-484E-9891-5F7D5BC045D4}"/>
            </c:ext>
          </c:extLst>
        </c:ser>
        <c:ser>
          <c:idx val="15"/>
          <c:order val="17"/>
          <c:tx>
            <c:v>LTV</c:v>
          </c:tx>
          <c:spPr>
            <a:solidFill>
              <a:srgbClr val="006BB6"/>
            </a:solidFill>
            <a:ln w="6350">
              <a:solidFill>
                <a:sysClr val="windowText" lastClr="000000"/>
              </a:solidFill>
            </a:ln>
          </c:spPr>
          <c:invertIfNegative val="0"/>
          <c:dLbls>
            <c:spPr>
              <a:noFill/>
              <a:ln>
                <a:noFill/>
              </a:ln>
              <a:effectLst/>
            </c:spPr>
            <c:txPr>
              <a:bodyPr wrap="square" lIns="38100" tIns="19050" rIns="38100" bIns="19050" anchor="ctr">
                <a:spAutoFit/>
              </a:bodyPr>
              <a:lstStyle/>
              <a:p>
                <a:pPr>
                  <a:defRPr sz="600">
                    <a:latin typeface="Arial Narrow" panose="020B0606020202030204" pitchFamily="34" charset="0"/>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1"/>
              </c:ext>
            </c:extLst>
          </c:dLbls>
          <c:cat>
            <c:strLit>
              <c:ptCount val="6"/>
              <c:pt idx="0">
                <c:v>Psychological therapies delivered by a psychologist</c:v>
              </c:pt>
              <c:pt idx="1">
                <c:v>Psychological therapies delivered by a mental health professional other than psychologists</c:v>
              </c:pt>
              <c:pt idx="2">
                <c:v>Counselling</c:v>
              </c:pt>
              <c:pt idx="3">
                <c:v>Alcohol counselling</c:v>
              </c:pt>
              <c:pt idx="4">
                <c:v>Drug or substance abuse counselling</c:v>
              </c:pt>
              <c:pt idx="5">
                <c:v>Outpatient services</c:v>
              </c:pt>
            </c:strLit>
          </c:cat>
          <c:val>
            <c:numLit>
              <c:formatCode>General</c:formatCode>
              <c:ptCount val="6"/>
              <c:pt idx="0">
                <c:v>1</c:v>
              </c:pt>
              <c:pt idx="1">
                <c:v>1</c:v>
              </c:pt>
              <c:pt idx="2">
                <c:v>1</c:v>
              </c:pt>
              <c:pt idx="3">
                <c:v>1</c:v>
              </c:pt>
              <c:pt idx="4">
                <c:v>1</c:v>
              </c:pt>
              <c:pt idx="5">
                <c:v>1</c:v>
              </c:pt>
            </c:numLit>
          </c:val>
          <c:extLst>
            <c:ext xmlns:c16="http://schemas.microsoft.com/office/drawing/2014/chart" uri="{C3380CC4-5D6E-409C-BE32-E72D297353CC}">
              <c16:uniqueId val="{0000003F-22B0-484E-9891-5F7D5BC045D4}"/>
            </c:ext>
          </c:extLst>
        </c:ser>
        <c:ser>
          <c:idx val="16"/>
          <c:order val="18"/>
          <c:tx>
            <c:v>LTU</c:v>
          </c:tx>
          <c:spPr>
            <a:solidFill>
              <a:srgbClr val="006BB6"/>
            </a:solidFill>
            <a:ln w="6350">
              <a:solidFill>
                <a:sysClr val="windowText" lastClr="000000"/>
              </a:solidFill>
            </a:ln>
          </c:spPr>
          <c:invertIfNegative val="0"/>
          <c:dLbls>
            <c:spPr>
              <a:noFill/>
              <a:ln>
                <a:noFill/>
              </a:ln>
              <a:effectLst/>
            </c:spPr>
            <c:txPr>
              <a:bodyPr wrap="square" lIns="38100" tIns="19050" rIns="38100" bIns="19050" anchor="ctr">
                <a:spAutoFit/>
              </a:bodyPr>
              <a:lstStyle/>
              <a:p>
                <a:pPr>
                  <a:defRPr sz="600">
                    <a:latin typeface="Arial Narrow" panose="020B0606020202030204" pitchFamily="34" charset="0"/>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1"/>
              </c:ext>
            </c:extLst>
          </c:dLbls>
          <c:cat>
            <c:strLit>
              <c:ptCount val="6"/>
              <c:pt idx="0">
                <c:v>Psychological therapies delivered by a psychologist</c:v>
              </c:pt>
              <c:pt idx="1">
                <c:v>Psychological therapies delivered by a mental health professional other than psychologists</c:v>
              </c:pt>
              <c:pt idx="2">
                <c:v>Counselling</c:v>
              </c:pt>
              <c:pt idx="3">
                <c:v>Alcohol counselling</c:v>
              </c:pt>
              <c:pt idx="4">
                <c:v>Drug or substance abuse counselling</c:v>
              </c:pt>
              <c:pt idx="5">
                <c:v>Outpatient services</c:v>
              </c:pt>
            </c:strLit>
          </c:cat>
          <c:val>
            <c:numLit>
              <c:formatCode>General</c:formatCode>
              <c:ptCount val="6"/>
              <c:pt idx="0">
                <c:v>1</c:v>
              </c:pt>
              <c:pt idx="1">
                <c:v>1</c:v>
              </c:pt>
              <c:pt idx="2">
                <c:v>1</c:v>
              </c:pt>
              <c:pt idx="3">
                <c:v>1</c:v>
              </c:pt>
              <c:pt idx="4">
                <c:v>1</c:v>
              </c:pt>
              <c:pt idx="5">
                <c:v>1</c:v>
              </c:pt>
            </c:numLit>
          </c:val>
          <c:extLst>
            <c:ext xmlns:c16="http://schemas.microsoft.com/office/drawing/2014/chart" uri="{C3380CC4-5D6E-409C-BE32-E72D297353CC}">
              <c16:uniqueId val="{00000040-22B0-484E-9891-5F7D5BC045D4}"/>
            </c:ext>
          </c:extLst>
        </c:ser>
        <c:ser>
          <c:idx val="17"/>
          <c:order val="19"/>
          <c:tx>
            <c:v>LUX</c:v>
          </c:tx>
          <c:spPr>
            <a:solidFill>
              <a:srgbClr val="7FA8D9"/>
            </a:solidFill>
            <a:ln w="6350">
              <a:solidFill>
                <a:sysClr val="windowText" lastClr="000000"/>
              </a:solidFill>
            </a:ln>
          </c:spPr>
          <c:invertIfNegative val="0"/>
          <c:dLbls>
            <c:spPr>
              <a:noFill/>
              <a:ln>
                <a:noFill/>
              </a:ln>
              <a:effectLst/>
            </c:spPr>
            <c:txPr>
              <a:bodyPr wrap="square" lIns="38100" tIns="19050" rIns="38100" bIns="19050" anchor="ctr">
                <a:spAutoFit/>
              </a:bodyPr>
              <a:lstStyle/>
              <a:p>
                <a:pPr>
                  <a:defRPr sz="600">
                    <a:latin typeface="Arial Narrow" panose="020B0606020202030204" pitchFamily="34" charset="0"/>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1"/>
              </c:ext>
            </c:extLst>
          </c:dLbls>
          <c:cat>
            <c:strLit>
              <c:ptCount val="6"/>
              <c:pt idx="0">
                <c:v>Psychological therapies delivered by a psychologist</c:v>
              </c:pt>
              <c:pt idx="1">
                <c:v>Psychological therapies delivered by a mental health professional other than psychologists</c:v>
              </c:pt>
              <c:pt idx="2">
                <c:v>Counselling</c:v>
              </c:pt>
              <c:pt idx="3">
                <c:v>Alcohol counselling</c:v>
              </c:pt>
              <c:pt idx="4">
                <c:v>Drug or substance abuse counselling</c:v>
              </c:pt>
              <c:pt idx="5">
                <c:v>Outpatient services</c:v>
              </c:pt>
            </c:strLit>
          </c:cat>
          <c:val>
            <c:numLit>
              <c:formatCode>General</c:formatCode>
              <c:ptCount val="6"/>
              <c:pt idx="0">
                <c:v>1</c:v>
              </c:pt>
              <c:pt idx="1">
                <c:v>1</c:v>
              </c:pt>
              <c:pt idx="2">
                <c:v>1</c:v>
              </c:pt>
              <c:pt idx="3">
                <c:v>1</c:v>
              </c:pt>
              <c:pt idx="4">
                <c:v>1</c:v>
              </c:pt>
              <c:pt idx="5">
                <c:v>1</c:v>
              </c:pt>
            </c:numLit>
          </c:val>
          <c:extLst>
            <c:ext xmlns:c16="http://schemas.microsoft.com/office/drawing/2014/chart" uri="{C3380CC4-5D6E-409C-BE32-E72D297353CC}">
              <c16:uniqueId val="{00000041-22B0-484E-9891-5F7D5BC045D4}"/>
            </c:ext>
          </c:extLst>
        </c:ser>
        <c:ser>
          <c:idx val="18"/>
          <c:order val="20"/>
          <c:tx>
            <c:v>MEX</c:v>
          </c:tx>
          <c:spPr>
            <a:solidFill>
              <a:srgbClr val="7FA8D9"/>
            </a:solidFill>
            <a:ln w="6350">
              <a:solidFill>
                <a:sysClr val="windowText" lastClr="000000"/>
              </a:solidFill>
            </a:ln>
          </c:spPr>
          <c:invertIfNegative val="0"/>
          <c:dLbls>
            <c:dLbl>
              <c:idx val="1"/>
              <c:delete val="1"/>
              <c:extLst>
                <c:ext xmlns:c15="http://schemas.microsoft.com/office/drawing/2012/chart" uri="{CE6537A1-D6FC-4f65-9D91-7224C49458BB}"/>
                <c:ext xmlns:c16="http://schemas.microsoft.com/office/drawing/2014/chart" uri="{C3380CC4-5D6E-409C-BE32-E72D297353CC}">
                  <c16:uniqueId val="{00000042-22B0-484E-9891-5F7D5BC045D4}"/>
                </c:ext>
              </c:extLst>
            </c:dLbl>
            <c:dLbl>
              <c:idx val="2"/>
              <c:delete val="1"/>
              <c:extLst>
                <c:ext xmlns:c15="http://schemas.microsoft.com/office/drawing/2012/chart" uri="{CE6537A1-D6FC-4f65-9D91-7224C49458BB}"/>
                <c:ext xmlns:c16="http://schemas.microsoft.com/office/drawing/2014/chart" uri="{C3380CC4-5D6E-409C-BE32-E72D297353CC}">
                  <c16:uniqueId val="{00000043-22B0-484E-9891-5F7D5BC045D4}"/>
                </c:ext>
              </c:extLst>
            </c:dLbl>
            <c:spPr>
              <a:noFill/>
              <a:ln>
                <a:noFill/>
              </a:ln>
              <a:effectLst/>
            </c:spPr>
            <c:txPr>
              <a:bodyPr wrap="square" lIns="38100" tIns="19050" rIns="38100" bIns="19050" anchor="ctr">
                <a:spAutoFit/>
              </a:bodyPr>
              <a:lstStyle/>
              <a:p>
                <a:pPr>
                  <a:defRPr sz="600">
                    <a:latin typeface="Arial Narrow" panose="020B0606020202030204" pitchFamily="34" charset="0"/>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1"/>
              </c:ext>
            </c:extLst>
          </c:dLbls>
          <c:cat>
            <c:strLit>
              <c:ptCount val="6"/>
              <c:pt idx="0">
                <c:v>Psychological therapies delivered by a psychologist</c:v>
              </c:pt>
              <c:pt idx="1">
                <c:v>Psychological therapies delivered by a mental health professional other than psychologists</c:v>
              </c:pt>
              <c:pt idx="2">
                <c:v>Counselling</c:v>
              </c:pt>
              <c:pt idx="3">
                <c:v>Alcohol counselling</c:v>
              </c:pt>
              <c:pt idx="4">
                <c:v>Drug or substance abuse counselling</c:v>
              </c:pt>
              <c:pt idx="5">
                <c:v>Outpatient services</c:v>
              </c:pt>
            </c:strLit>
          </c:cat>
          <c:val>
            <c:numLit>
              <c:formatCode>General</c:formatCode>
              <c:ptCount val="6"/>
              <c:pt idx="0">
                <c:v>1</c:v>
              </c:pt>
              <c:pt idx="1">
                <c:v>0</c:v>
              </c:pt>
              <c:pt idx="2">
                <c:v>0</c:v>
              </c:pt>
              <c:pt idx="3">
                <c:v>1</c:v>
              </c:pt>
              <c:pt idx="4">
                <c:v>1</c:v>
              </c:pt>
              <c:pt idx="5">
                <c:v>1</c:v>
              </c:pt>
            </c:numLit>
          </c:val>
          <c:extLst>
            <c:ext xmlns:c16="http://schemas.microsoft.com/office/drawing/2014/chart" uri="{C3380CC4-5D6E-409C-BE32-E72D297353CC}">
              <c16:uniqueId val="{00000044-22B0-484E-9891-5F7D5BC045D4}"/>
            </c:ext>
          </c:extLst>
        </c:ser>
        <c:ser>
          <c:idx val="19"/>
          <c:order val="21"/>
          <c:tx>
            <c:v>NLD</c:v>
          </c:tx>
          <c:spPr>
            <a:solidFill>
              <a:srgbClr val="006BB6"/>
            </a:solidFill>
            <a:ln w="6350">
              <a:solidFill>
                <a:sysClr val="windowText" lastClr="000000"/>
              </a:solidFill>
            </a:ln>
          </c:spPr>
          <c:invertIfNegative val="0"/>
          <c:dPt>
            <c:idx val="1"/>
            <c:invertIfNegative val="0"/>
            <c:bubble3D val="0"/>
            <c:spPr>
              <a:solidFill>
                <a:srgbClr val="7FA8D9"/>
              </a:solidFill>
              <a:ln w="6350">
                <a:solidFill>
                  <a:sysClr val="windowText" lastClr="000000"/>
                </a:solidFill>
              </a:ln>
            </c:spPr>
            <c:extLst>
              <c:ext xmlns:c16="http://schemas.microsoft.com/office/drawing/2014/chart" uri="{C3380CC4-5D6E-409C-BE32-E72D297353CC}">
                <c16:uniqueId val="{00000046-22B0-484E-9891-5F7D5BC045D4}"/>
              </c:ext>
            </c:extLst>
          </c:dPt>
          <c:dPt>
            <c:idx val="2"/>
            <c:invertIfNegative val="0"/>
            <c:bubble3D val="0"/>
            <c:spPr>
              <a:solidFill>
                <a:srgbClr val="7FA8D9"/>
              </a:solidFill>
              <a:ln w="6350">
                <a:solidFill>
                  <a:sysClr val="windowText" lastClr="000000"/>
                </a:solidFill>
              </a:ln>
            </c:spPr>
            <c:extLst>
              <c:ext xmlns:c16="http://schemas.microsoft.com/office/drawing/2014/chart" uri="{C3380CC4-5D6E-409C-BE32-E72D297353CC}">
                <c16:uniqueId val="{00000048-22B0-484E-9891-5F7D5BC045D4}"/>
              </c:ext>
            </c:extLst>
          </c:dPt>
          <c:dLbls>
            <c:spPr>
              <a:noFill/>
              <a:ln>
                <a:noFill/>
              </a:ln>
              <a:effectLst/>
            </c:spPr>
            <c:txPr>
              <a:bodyPr wrap="square" lIns="38100" tIns="19050" rIns="38100" bIns="19050" anchor="ctr">
                <a:spAutoFit/>
              </a:bodyPr>
              <a:lstStyle/>
              <a:p>
                <a:pPr>
                  <a:defRPr sz="600">
                    <a:latin typeface="Arial Narrow" panose="020B0606020202030204" pitchFamily="34" charset="0"/>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1"/>
              </c:ext>
            </c:extLst>
          </c:dLbls>
          <c:cat>
            <c:strLit>
              <c:ptCount val="6"/>
              <c:pt idx="0">
                <c:v>Psychological therapies delivered by a psychologist</c:v>
              </c:pt>
              <c:pt idx="1">
                <c:v>Psychological therapies delivered by a mental health professional other than psychologists</c:v>
              </c:pt>
              <c:pt idx="2">
                <c:v>Counselling</c:v>
              </c:pt>
              <c:pt idx="3">
                <c:v>Alcohol counselling</c:v>
              </c:pt>
              <c:pt idx="4">
                <c:v>Drug or substance abuse counselling</c:v>
              </c:pt>
              <c:pt idx="5">
                <c:v>Outpatient services</c:v>
              </c:pt>
            </c:strLit>
          </c:cat>
          <c:val>
            <c:numLit>
              <c:formatCode>General</c:formatCode>
              <c:ptCount val="6"/>
              <c:pt idx="0">
                <c:v>1</c:v>
              </c:pt>
              <c:pt idx="1">
                <c:v>1</c:v>
              </c:pt>
              <c:pt idx="2">
                <c:v>1</c:v>
              </c:pt>
              <c:pt idx="3">
                <c:v>1</c:v>
              </c:pt>
              <c:pt idx="4">
                <c:v>1</c:v>
              </c:pt>
              <c:pt idx="5">
                <c:v>1</c:v>
              </c:pt>
            </c:numLit>
          </c:val>
          <c:extLst>
            <c:ext xmlns:c16="http://schemas.microsoft.com/office/drawing/2014/chart" uri="{C3380CC4-5D6E-409C-BE32-E72D297353CC}">
              <c16:uniqueId val="{00000049-22B0-484E-9891-5F7D5BC045D4}"/>
            </c:ext>
          </c:extLst>
        </c:ser>
        <c:ser>
          <c:idx val="20"/>
          <c:order val="22"/>
          <c:tx>
            <c:v>NOR</c:v>
          </c:tx>
          <c:spPr>
            <a:solidFill>
              <a:srgbClr val="7FA8D9"/>
            </a:solidFill>
            <a:ln w="6350">
              <a:solidFill>
                <a:sysClr val="windowText" lastClr="000000"/>
              </a:solidFill>
            </a:ln>
          </c:spPr>
          <c:invertIfNegative val="0"/>
          <c:dLbls>
            <c:spPr>
              <a:noFill/>
              <a:ln>
                <a:noFill/>
              </a:ln>
              <a:effectLst/>
            </c:spPr>
            <c:txPr>
              <a:bodyPr wrap="square" lIns="38100" tIns="19050" rIns="38100" bIns="19050" anchor="ctr">
                <a:spAutoFit/>
              </a:bodyPr>
              <a:lstStyle/>
              <a:p>
                <a:pPr>
                  <a:defRPr sz="600">
                    <a:latin typeface="Arial Narrow" panose="020B0606020202030204" pitchFamily="34" charset="0"/>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1"/>
              </c:ext>
            </c:extLst>
          </c:dLbls>
          <c:cat>
            <c:strLit>
              <c:ptCount val="6"/>
              <c:pt idx="0">
                <c:v>Psychological therapies delivered by a psychologist</c:v>
              </c:pt>
              <c:pt idx="1">
                <c:v>Psychological therapies delivered by a mental health professional other than psychologists</c:v>
              </c:pt>
              <c:pt idx="2">
                <c:v>Counselling</c:v>
              </c:pt>
              <c:pt idx="3">
                <c:v>Alcohol counselling</c:v>
              </c:pt>
              <c:pt idx="4">
                <c:v>Drug or substance abuse counselling</c:v>
              </c:pt>
              <c:pt idx="5">
                <c:v>Outpatient services</c:v>
              </c:pt>
            </c:strLit>
          </c:cat>
          <c:val>
            <c:numLit>
              <c:formatCode>General</c:formatCode>
              <c:ptCount val="6"/>
              <c:pt idx="0">
                <c:v>1</c:v>
              </c:pt>
              <c:pt idx="1">
                <c:v>1</c:v>
              </c:pt>
              <c:pt idx="2">
                <c:v>1</c:v>
              </c:pt>
              <c:pt idx="3">
                <c:v>1</c:v>
              </c:pt>
              <c:pt idx="4">
                <c:v>1</c:v>
              </c:pt>
              <c:pt idx="5">
                <c:v>1</c:v>
              </c:pt>
            </c:numLit>
          </c:val>
          <c:extLst>
            <c:ext xmlns:c16="http://schemas.microsoft.com/office/drawing/2014/chart" uri="{C3380CC4-5D6E-409C-BE32-E72D297353CC}">
              <c16:uniqueId val="{0000004A-22B0-484E-9891-5F7D5BC045D4}"/>
            </c:ext>
          </c:extLst>
        </c:ser>
        <c:ser>
          <c:idx val="21"/>
          <c:order val="23"/>
          <c:tx>
            <c:v>POL</c:v>
          </c:tx>
          <c:spPr>
            <a:solidFill>
              <a:srgbClr val="006BB6"/>
            </a:solidFill>
            <a:ln w="6350">
              <a:solidFill>
                <a:sysClr val="windowText" lastClr="000000"/>
              </a:solidFill>
            </a:ln>
          </c:spPr>
          <c:invertIfNegative val="0"/>
          <c:dLbls>
            <c:spPr>
              <a:noFill/>
              <a:ln>
                <a:noFill/>
              </a:ln>
              <a:effectLst/>
            </c:spPr>
            <c:txPr>
              <a:bodyPr wrap="square" lIns="38100" tIns="19050" rIns="38100" bIns="19050" anchor="ctr">
                <a:spAutoFit/>
              </a:bodyPr>
              <a:lstStyle/>
              <a:p>
                <a:pPr>
                  <a:defRPr sz="600">
                    <a:latin typeface="Arial Narrow" panose="020B0606020202030204" pitchFamily="34" charset="0"/>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1"/>
              </c:ext>
            </c:extLst>
          </c:dLbls>
          <c:cat>
            <c:strLit>
              <c:ptCount val="6"/>
              <c:pt idx="0">
                <c:v>Psychological therapies delivered by a psychologist</c:v>
              </c:pt>
              <c:pt idx="1">
                <c:v>Psychological therapies delivered by a mental health professional other than psychologists</c:v>
              </c:pt>
              <c:pt idx="2">
                <c:v>Counselling</c:v>
              </c:pt>
              <c:pt idx="3">
                <c:v>Alcohol counselling</c:v>
              </c:pt>
              <c:pt idx="4">
                <c:v>Drug or substance abuse counselling</c:v>
              </c:pt>
              <c:pt idx="5">
                <c:v>Outpatient services</c:v>
              </c:pt>
            </c:strLit>
          </c:cat>
          <c:val>
            <c:numLit>
              <c:formatCode>General</c:formatCode>
              <c:ptCount val="6"/>
              <c:pt idx="0">
                <c:v>1</c:v>
              </c:pt>
              <c:pt idx="1">
                <c:v>1</c:v>
              </c:pt>
              <c:pt idx="2">
                <c:v>1</c:v>
              </c:pt>
              <c:pt idx="3">
                <c:v>1</c:v>
              </c:pt>
              <c:pt idx="4">
                <c:v>1</c:v>
              </c:pt>
              <c:pt idx="5">
                <c:v>1</c:v>
              </c:pt>
            </c:numLit>
          </c:val>
          <c:extLst>
            <c:ext xmlns:c16="http://schemas.microsoft.com/office/drawing/2014/chart" uri="{C3380CC4-5D6E-409C-BE32-E72D297353CC}">
              <c16:uniqueId val="{0000004B-22B0-484E-9891-5F7D5BC045D4}"/>
            </c:ext>
          </c:extLst>
        </c:ser>
        <c:ser>
          <c:idx val="22"/>
          <c:order val="24"/>
          <c:tx>
            <c:v>SVN</c:v>
          </c:tx>
          <c:spPr>
            <a:solidFill>
              <a:srgbClr val="006BB6"/>
            </a:solidFill>
            <a:ln w="6350">
              <a:solidFill>
                <a:sysClr val="windowText" lastClr="000000"/>
              </a:solidFill>
            </a:ln>
          </c:spPr>
          <c:invertIfNegative val="0"/>
          <c:dLbls>
            <c:spPr>
              <a:noFill/>
              <a:ln>
                <a:noFill/>
              </a:ln>
              <a:effectLst/>
            </c:spPr>
            <c:txPr>
              <a:bodyPr wrap="square" lIns="38100" tIns="19050" rIns="38100" bIns="19050" anchor="ctr">
                <a:spAutoFit/>
              </a:bodyPr>
              <a:lstStyle/>
              <a:p>
                <a:pPr>
                  <a:defRPr sz="600">
                    <a:latin typeface="Arial Narrow" panose="020B0606020202030204" pitchFamily="34" charset="0"/>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1"/>
              </c:ext>
            </c:extLst>
          </c:dLbls>
          <c:cat>
            <c:strLit>
              <c:ptCount val="6"/>
              <c:pt idx="0">
                <c:v>Psychological therapies delivered by a psychologist</c:v>
              </c:pt>
              <c:pt idx="1">
                <c:v>Psychological therapies delivered by a mental health professional other than psychologists</c:v>
              </c:pt>
              <c:pt idx="2">
                <c:v>Counselling</c:v>
              </c:pt>
              <c:pt idx="3">
                <c:v>Alcohol counselling</c:v>
              </c:pt>
              <c:pt idx="4">
                <c:v>Drug or substance abuse counselling</c:v>
              </c:pt>
              <c:pt idx="5">
                <c:v>Outpatient services</c:v>
              </c:pt>
            </c:strLit>
          </c:cat>
          <c:val>
            <c:numLit>
              <c:formatCode>General</c:formatCode>
              <c:ptCount val="6"/>
              <c:pt idx="0">
                <c:v>1</c:v>
              </c:pt>
              <c:pt idx="1">
                <c:v>1</c:v>
              </c:pt>
              <c:pt idx="2">
                <c:v>1</c:v>
              </c:pt>
              <c:pt idx="3">
                <c:v>1</c:v>
              </c:pt>
              <c:pt idx="4">
                <c:v>1</c:v>
              </c:pt>
              <c:pt idx="5">
                <c:v>1</c:v>
              </c:pt>
            </c:numLit>
          </c:val>
          <c:extLst>
            <c:ext xmlns:c16="http://schemas.microsoft.com/office/drawing/2014/chart" uri="{C3380CC4-5D6E-409C-BE32-E72D297353CC}">
              <c16:uniqueId val="{0000004C-22B0-484E-9891-5F7D5BC045D4}"/>
            </c:ext>
          </c:extLst>
        </c:ser>
        <c:ser>
          <c:idx val="25"/>
          <c:order val="25"/>
          <c:tx>
            <c:v>TUR</c:v>
          </c:tx>
          <c:spPr>
            <a:solidFill>
              <a:srgbClr val="006BB6"/>
            </a:solidFill>
            <a:ln w="6350">
              <a:solidFill>
                <a:schemeClr val="tx1"/>
              </a:solidFill>
            </a:ln>
          </c:spPr>
          <c:invertIfNegative val="0"/>
          <c:dLbls>
            <c:spPr>
              <a:noFill/>
              <a:ln>
                <a:noFill/>
              </a:ln>
              <a:effectLst/>
            </c:spPr>
            <c:txPr>
              <a:bodyPr wrap="square" lIns="38100" tIns="19050" rIns="38100" bIns="19050" anchor="ctr">
                <a:spAutoFit/>
              </a:bodyPr>
              <a:lstStyle/>
              <a:p>
                <a:pPr>
                  <a:defRPr sz="600">
                    <a:latin typeface="Arial Narrow" panose="020B0606020202030204" pitchFamily="34" charset="0"/>
                  </a:defRPr>
                </a:pPr>
                <a:endParaRPr lang="el-GR"/>
              </a:p>
            </c:txPr>
            <c:dLblPos val="ctr"/>
            <c:showLegendKey val="0"/>
            <c:showVal val="0"/>
            <c:showCatName val="0"/>
            <c:showSerName val="1"/>
            <c:showPercent val="0"/>
            <c:showBubbleSize val="0"/>
            <c:showLeaderLines val="0"/>
            <c:extLst>
              <c:ext xmlns:c15="http://schemas.microsoft.com/office/drawing/2012/chart" uri="{CE6537A1-D6FC-4f65-9D91-7224C49458BB}">
                <c15:showLeaderLines val="1"/>
              </c:ext>
            </c:extLst>
          </c:dLbls>
          <c:val>
            <c:numLit>
              <c:formatCode>General</c:formatCode>
              <c:ptCount val="6"/>
              <c:pt idx="0">
                <c:v>1</c:v>
              </c:pt>
              <c:pt idx="1">
                <c:v>1</c:v>
              </c:pt>
              <c:pt idx="2">
                <c:v>1</c:v>
              </c:pt>
              <c:pt idx="3">
                <c:v>1</c:v>
              </c:pt>
              <c:pt idx="4">
                <c:v>1</c:v>
              </c:pt>
              <c:pt idx="5">
                <c:v>1</c:v>
              </c:pt>
            </c:numLit>
          </c:val>
          <c:extLst>
            <c:ext xmlns:c16="http://schemas.microsoft.com/office/drawing/2014/chart" uri="{C3380CC4-5D6E-409C-BE32-E72D297353CC}">
              <c16:uniqueId val="{0000004D-22B0-484E-9891-5F7D5BC045D4}"/>
            </c:ext>
          </c:extLst>
        </c:ser>
        <c:dLbls>
          <c:dLblPos val="ctr"/>
          <c:showLegendKey val="0"/>
          <c:showVal val="1"/>
          <c:showCatName val="0"/>
          <c:showSerName val="0"/>
          <c:showPercent val="0"/>
          <c:showBubbleSize val="0"/>
        </c:dLbls>
        <c:gapWidth val="150"/>
        <c:overlap val="100"/>
        <c:axId val="423157760"/>
        <c:axId val="423159296"/>
        <c:extLst>
          <c:ext xmlns:c15="http://schemas.microsoft.com/office/drawing/2012/chart" uri="{02D57815-91ED-43cb-92C2-25804820EDAC}">
            <c15:filteredBarSeries>
              <c15:ser>
                <c:idx val="13"/>
                <c:order val="15"/>
                <c:tx>
                  <c:strRef>
                    <c:extLst>
                      <c:ext uri="{02D57815-91ED-43cb-92C2-25804820EDAC}">
                        <c15:formulaRef>
                          <c15:sqref>Figure!#REF!</c15:sqref>
                        </c15:formulaRef>
                      </c:ext>
                    </c:extLst>
                    <c:strCache>
                      <c:ptCount val="1"/>
                      <c:pt idx="0">
                        <c:v>#REF!</c:v>
                      </c:pt>
                    </c:strCache>
                  </c:strRef>
                </c:tx>
                <c:spPr>
                  <a:solidFill>
                    <a:srgbClr val="CCCCCC"/>
                  </a:solidFill>
                  <a:ln>
                    <a:solidFill>
                      <a:sysClr val="windowText" lastClr="000000"/>
                    </a:solidFill>
                  </a:ln>
                </c:spPr>
                <c:invertIfNegative val="0"/>
                <c:dLbls>
                  <c:delete val="1"/>
                </c:dLbls>
                <c:cat>
                  <c:strLit>
                    <c:ptCount val="6"/>
                    <c:pt idx="0">
                      <c:v>Psychological therapies delivered by a psychologist</c:v>
                    </c:pt>
                    <c:pt idx="1">
                      <c:v>Psychological therapies delivered by a mental health professional other than psychologists</c:v>
                    </c:pt>
                    <c:pt idx="2">
                      <c:v>Counselling</c:v>
                    </c:pt>
                    <c:pt idx="3">
                      <c:v>Alcohol counselling</c:v>
                    </c:pt>
                    <c:pt idx="4">
                      <c:v>Drug or substance abuse counselling</c:v>
                    </c:pt>
                    <c:pt idx="5">
                      <c:v>Outpatient services</c:v>
                    </c:pt>
                  </c:strLit>
                </c:cat>
                <c:val>
                  <c:numRef>
                    <c:extLst>
                      <c:ext uri="{02D57815-91ED-43cb-92C2-25804820EDAC}">
                        <c15:formulaRef>
                          <c15:sqref>Figure!#REF!</c15:sqref>
                        </c15:formulaRef>
                      </c:ext>
                    </c:extLst>
                    <c:numCache>
                      <c:formatCode>General</c:formatCode>
                      <c:ptCount val="1"/>
                      <c:pt idx="0">
                        <c:v>1</c:v>
                      </c:pt>
                    </c:numCache>
                  </c:numRef>
                </c:val>
                <c:extLst>
                  <c:ext xmlns:c16="http://schemas.microsoft.com/office/drawing/2014/chart" uri="{C3380CC4-5D6E-409C-BE32-E72D297353CC}">
                    <c16:uniqueId val="{0000004E-22B0-484E-9891-5F7D5BC045D4}"/>
                  </c:ext>
                </c:extLst>
              </c15:ser>
            </c15:filteredBarSeries>
          </c:ext>
        </c:extLst>
      </c:barChart>
      <c:catAx>
        <c:axId val="423157760"/>
        <c:scaling>
          <c:orientation val="minMax"/>
        </c:scaling>
        <c:delete val="1"/>
        <c:axPos val="b"/>
        <c:majorGridlines>
          <c:spPr>
            <a:ln w="9525" cmpd="sng">
              <a:solidFill>
                <a:srgbClr val="FFFFFF"/>
              </a:solidFill>
              <a:prstDash val="solid"/>
            </a:ln>
          </c:spPr>
        </c:majorGridlines>
        <c:numFmt formatCode="General" sourceLinked="1"/>
        <c:majorTickMark val="in"/>
        <c:minorTickMark val="none"/>
        <c:tickLblPos val="low"/>
        <c:crossAx val="423159296"/>
        <c:crosses val="autoZero"/>
        <c:auto val="1"/>
        <c:lblAlgn val="ctr"/>
        <c:lblOffset val="0"/>
        <c:tickLblSkip val="1"/>
        <c:noMultiLvlLbl val="0"/>
      </c:catAx>
      <c:valAx>
        <c:axId val="423159296"/>
        <c:scaling>
          <c:orientation val="minMax"/>
          <c:max val="25"/>
        </c:scaling>
        <c:delete val="0"/>
        <c:axPos val="l"/>
        <c:majorGridlines>
          <c:spPr>
            <a:ln w="9525" cmpd="sng">
              <a:solidFill>
                <a:srgbClr val="FFFFFF"/>
              </a:solidFill>
              <a:prstDash val="solid"/>
            </a:ln>
          </c:spPr>
        </c:majorGridlines>
        <c:numFmt formatCode="General" sourceLinked="1"/>
        <c:majorTickMark val="in"/>
        <c:minorTickMark val="none"/>
        <c:tickLblPos val="nextTo"/>
        <c:spPr>
          <a:noFill/>
          <a:ln w="9525">
            <a:solidFill>
              <a:srgbClr val="000000"/>
            </a:solidFill>
            <a:prstDash val="solid"/>
          </a:ln>
          <a:extLst>
            <a:ext uri="{909E8E84-426E-40DD-AFC4-6F175D3DCCD1}">
              <a14:hiddenFill xmlns:a14="http://schemas.microsoft.com/office/drawing/2010/main">
                <a:noFill/>
              </a14:hiddenFill>
            </a:ext>
          </a:extLst>
        </c:spPr>
        <c:txPr>
          <a:bodyPr rot="-60000000" vert="horz"/>
          <a:lstStyle/>
          <a:p>
            <a:pPr>
              <a:defRPr sz="750" b="0" i="0">
                <a:solidFill>
                  <a:srgbClr val="000000"/>
                </a:solidFill>
                <a:latin typeface="Arial Narrow"/>
                <a:ea typeface="Arial Narrow"/>
                <a:cs typeface="Arial Narrow"/>
              </a:defRPr>
            </a:pPr>
            <a:endParaRPr lang="el-GR"/>
          </a:p>
        </c:txPr>
        <c:crossAx val="423157760"/>
        <c:crosses val="autoZero"/>
        <c:crossBetween val="between"/>
      </c:valAx>
      <c:spPr>
        <a:solidFill>
          <a:srgbClr val="EAEAEA"/>
        </a:solidFill>
        <a:ln w="9525">
          <a:noFill/>
        </a:ln>
      </c:spPr>
    </c:plotArea>
    <c:plotVisOnly val="1"/>
    <c:dispBlanksAs val="gap"/>
    <c:showDLblsOverMax val="1"/>
  </c:chart>
  <c:spPr>
    <a:noFill/>
    <a:ln w="9525" cap="flat" cmpd="sng" algn="ctr">
      <a:noFill/>
      <a:prstDash val="solid"/>
      <a:round/>
    </a:ln>
    <a:effectLst/>
    <a:extLst>
      <a:ext uri="{909E8E84-426E-40DD-AFC4-6F175D3DCCD1}">
        <a14:hiddenFill xmlns:a14="http://schemas.microsoft.com/office/drawing/2010/main">
          <a:solidFill>
            <a:sysClr val="window" lastClr="FFFFFF"/>
          </a:solidFill>
        </a14:hiddenFill>
      </a:ext>
      <a:ext uri="{91240B29-F687-4F45-9708-019B960494DF}">
        <a14:hiddenLine xmlns:a14="http://schemas.microsoft.com/office/drawing/2010/main" w="9525" cap="flat" cmpd="sng" algn="ctr">
          <a:solidFill>
            <a:sysClr val="windowText" lastClr="000000">
              <a:tint val="75000"/>
              <a:shade val="95000"/>
              <a:satMod val="105000"/>
            </a:sysClr>
          </a:solidFill>
          <a:prstDash val="solid"/>
          <a:round/>
        </a14:hiddenLine>
      </a:ext>
    </a:extLst>
  </c:spPr>
  <c:externalData r:id="rId1">
    <c:autoUpdate val="0"/>
  </c:externalData>
  <c:userShapes r:id="rId2"/>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l-G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Φύλλο1!$B$1</c:f>
              <c:strCache>
                <c:ptCount val="1"/>
                <c:pt idx="0">
                  <c:v>Αριθμός παραπομπών σε ενδονοσοκομειακή φροντίδα</c:v>
                </c:pt>
              </c:strCache>
            </c:strRef>
          </c:tx>
          <c:spPr>
            <a:solidFill>
              <a:schemeClr val="tx2">
                <a:lumMod val="60000"/>
                <a:lumOff val="40000"/>
              </a:schemeClr>
            </a:solidFill>
            <a:ln>
              <a:noFill/>
            </a:ln>
            <a:effectLst/>
          </c:spPr>
          <c:invertIfNegative val="0"/>
          <c:dPt>
            <c:idx val="7"/>
            <c:invertIfNegative val="0"/>
            <c:bubble3D val="0"/>
            <c:spPr>
              <a:solidFill>
                <a:schemeClr val="accent1">
                  <a:lumMod val="75000"/>
                </a:schemeClr>
              </a:solidFill>
              <a:ln>
                <a:noFill/>
              </a:ln>
              <a:effectLst/>
            </c:spPr>
            <c:extLst>
              <c:ext xmlns:c16="http://schemas.microsoft.com/office/drawing/2014/chart" uri="{C3380CC4-5D6E-409C-BE32-E72D297353CC}">
                <c16:uniqueId val="{00000003-7F49-4D7E-970B-FE6535BAE6FC}"/>
              </c:ext>
            </c:extLst>
          </c:dPt>
          <c:dLbls>
            <c:dLbl>
              <c:idx val="0"/>
              <c:layout>
                <c:manualLayout>
                  <c:x val="0"/>
                  <c:y val="8.7719298245612955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2918-4E64-B537-E14383AF2661}"/>
                </c:ext>
              </c:extLst>
            </c:dLbl>
            <c:dLbl>
              <c:idx val="1"/>
              <c:layout>
                <c:manualLayout>
                  <c:x val="0"/>
                  <c:y val="8.771929824561403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2918-4E64-B537-E14383AF2661}"/>
                </c:ext>
              </c:extLst>
            </c:dLbl>
            <c:dLbl>
              <c:idx val="18"/>
              <c:layout>
                <c:manualLayout>
                  <c:x val="-7.9207920792079209E-3"/>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2918-4E64-B537-E14383AF2661}"/>
                </c:ext>
              </c:extLst>
            </c:dLbl>
            <c:dLbl>
              <c:idx val="20"/>
              <c:layout>
                <c:manualLayout>
                  <c:x val="-1.3201320132013201E-2"/>
                  <c:y val="1.169590643274853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5413-415E-B283-1E3529970BD5}"/>
                </c:ext>
              </c:extLst>
            </c:dLbl>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ysClr val="windowText" lastClr="000000"/>
                    </a:solidFill>
                    <a:latin typeface="+mn-lt"/>
                    <a:ea typeface="+mn-ea"/>
                    <a:cs typeface="+mn-cs"/>
                  </a:defRPr>
                </a:pPr>
                <a:endParaRPr lang="el-G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Φύλλο1!$A$2:$A$25</c:f>
              <c:strCache>
                <c:ptCount val="24"/>
                <c:pt idx="0">
                  <c:v>Μεξικό</c:v>
                </c:pt>
                <c:pt idx="1">
                  <c:v>Ιταλία</c:v>
                </c:pt>
                <c:pt idx="2">
                  <c:v>Εσθονία</c:v>
                </c:pt>
                <c:pt idx="3">
                  <c:v>Τουρκία</c:v>
                </c:pt>
                <c:pt idx="4">
                  <c:v>Ηνωμένο Βασίλειο</c:v>
                </c:pt>
                <c:pt idx="5">
                  <c:v>Νέα Ζηλανδία</c:v>
                </c:pt>
                <c:pt idx="6">
                  <c:v>Ισραήλ</c:v>
                </c:pt>
                <c:pt idx="7">
                  <c:v>Ελλάδα</c:v>
                </c:pt>
                <c:pt idx="8">
                  <c:v>Πολωνία</c:v>
                </c:pt>
                <c:pt idx="9">
                  <c:v>Ιρλανδία</c:v>
                </c:pt>
                <c:pt idx="10">
                  <c:v>Καναδάς</c:v>
                </c:pt>
                <c:pt idx="11">
                  <c:v>Σλοβενία</c:v>
                </c:pt>
                <c:pt idx="12">
                  <c:v>Τσεχία</c:v>
                </c:pt>
                <c:pt idx="13">
                  <c:v>Αυστραλία</c:v>
                </c:pt>
                <c:pt idx="14">
                  <c:v>Αυστρία</c:v>
                </c:pt>
                <c:pt idx="15">
                  <c:v>Δανία</c:v>
                </c:pt>
                <c:pt idx="16">
                  <c:v>Λουξεμβρούργο</c:v>
                </c:pt>
                <c:pt idx="17">
                  <c:v>Λετονία</c:v>
                </c:pt>
                <c:pt idx="18">
                  <c:v>Λιθουανία</c:v>
                </c:pt>
                <c:pt idx="19">
                  <c:v>Ισλανδία</c:v>
                </c:pt>
                <c:pt idx="20">
                  <c:v>Νορβηγία</c:v>
                </c:pt>
                <c:pt idx="21">
                  <c:v>Σουηδία</c:v>
                </c:pt>
                <c:pt idx="22">
                  <c:v>Βέλγιο</c:v>
                </c:pt>
                <c:pt idx="23">
                  <c:v>Ολλανδία</c:v>
                </c:pt>
              </c:strCache>
            </c:strRef>
          </c:cat>
          <c:val>
            <c:numRef>
              <c:f>Φύλλο1!$B$2:$B$25</c:f>
              <c:numCache>
                <c:formatCode>0.00</c:formatCode>
                <c:ptCount val="24"/>
                <c:pt idx="0">
                  <c:v>4.4029017009695998E-2</c:v>
                </c:pt>
                <c:pt idx="1">
                  <c:v>0.26752584714447503</c:v>
                </c:pt>
                <c:pt idx="2">
                  <c:v>1.6438514938988</c:v>
                </c:pt>
                <c:pt idx="3">
                  <c:v>1.750160695775</c:v>
                </c:pt>
                <c:pt idx="4">
                  <c:v>2.2849539593605002</c:v>
                </c:pt>
                <c:pt idx="5">
                  <c:v>3.4044911599589698</c:v>
                </c:pt>
                <c:pt idx="6">
                  <c:v>4.0050744496580402</c:v>
                </c:pt>
                <c:pt idx="7">
                  <c:v>4.0511103750505999</c:v>
                </c:pt>
                <c:pt idx="8">
                  <c:v>4.6854737684133001</c:v>
                </c:pt>
                <c:pt idx="9">
                  <c:v>4.8130130282600296</c:v>
                </c:pt>
                <c:pt idx="10">
                  <c:v>5.9325308187339303</c:v>
                </c:pt>
                <c:pt idx="11">
                  <c:v>6.4156290150214303</c:v>
                </c:pt>
                <c:pt idx="12">
                  <c:v>6.9975789326053599</c:v>
                </c:pt>
                <c:pt idx="13">
                  <c:v>8.2866245250127495</c:v>
                </c:pt>
                <c:pt idx="14">
                  <c:v>8.7319084726786205</c:v>
                </c:pt>
                <c:pt idx="15">
                  <c:v>9.4839643679864594</c:v>
                </c:pt>
                <c:pt idx="16">
                  <c:v>9.6628660126551704</c:v>
                </c:pt>
                <c:pt idx="17">
                  <c:v>9.7809408215599198</c:v>
                </c:pt>
                <c:pt idx="18">
                  <c:v>11.465707581815799</c:v>
                </c:pt>
                <c:pt idx="19">
                  <c:v>11.5359624891233</c:v>
                </c:pt>
                <c:pt idx="20">
                  <c:v>13.4470850505743</c:v>
                </c:pt>
                <c:pt idx="21">
                  <c:v>13.559904076812201</c:v>
                </c:pt>
                <c:pt idx="22">
                  <c:v>14.2876965395666</c:v>
                </c:pt>
                <c:pt idx="23">
                  <c:v>17.361685575789501</c:v>
                </c:pt>
              </c:numCache>
            </c:numRef>
          </c:val>
          <c:extLst>
            <c:ext xmlns:c16="http://schemas.microsoft.com/office/drawing/2014/chart" uri="{C3380CC4-5D6E-409C-BE32-E72D297353CC}">
              <c16:uniqueId val="{00000000-7F49-4D7E-970B-FE6535BAE6FC}"/>
            </c:ext>
          </c:extLst>
        </c:ser>
        <c:ser>
          <c:idx val="1"/>
          <c:order val="1"/>
          <c:tx>
            <c:strRef>
              <c:f>Φύλλο1!$C$1</c:f>
              <c:strCache>
                <c:ptCount val="1"/>
                <c:pt idx="0">
                  <c:v>Αριθμός ατόμων σε ενδονοσοκομειακή φροντίδα</c:v>
                </c:pt>
              </c:strCache>
            </c:strRef>
          </c:tx>
          <c:spPr>
            <a:solidFill>
              <a:schemeClr val="accent2"/>
            </a:solidFill>
            <a:ln>
              <a:noFill/>
            </a:ln>
            <a:effectLst/>
          </c:spPr>
          <c:invertIfNegative val="0"/>
          <c:dLbls>
            <c:dLbl>
              <c:idx val="0"/>
              <c:layout>
                <c:manualLayout>
                  <c:x val="-1.2101070328415042E-17"/>
                  <c:y val="-1.6179030252797346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2918-4E64-B537-E14383AF2661}"/>
                </c:ext>
              </c:extLst>
            </c:dLbl>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ysClr val="windowText" lastClr="000000"/>
                    </a:solidFill>
                    <a:latin typeface="+mn-lt"/>
                    <a:ea typeface="+mn-ea"/>
                    <a:cs typeface="+mn-cs"/>
                  </a:defRPr>
                </a:pPr>
                <a:endParaRPr lang="el-GR"/>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Φύλλο1!$A$2:$A$25</c:f>
              <c:strCache>
                <c:ptCount val="24"/>
                <c:pt idx="0">
                  <c:v>Μεξικό</c:v>
                </c:pt>
                <c:pt idx="1">
                  <c:v>Ιταλία</c:v>
                </c:pt>
                <c:pt idx="2">
                  <c:v>Εσθονία</c:v>
                </c:pt>
                <c:pt idx="3">
                  <c:v>Τουρκία</c:v>
                </c:pt>
                <c:pt idx="4">
                  <c:v>Ηνωμένο Βασίλειο</c:v>
                </c:pt>
                <c:pt idx="5">
                  <c:v>Νέα Ζηλανδία</c:v>
                </c:pt>
                <c:pt idx="6">
                  <c:v>Ισραήλ</c:v>
                </c:pt>
                <c:pt idx="7">
                  <c:v>Ελλάδα</c:v>
                </c:pt>
                <c:pt idx="8">
                  <c:v>Πολωνία</c:v>
                </c:pt>
                <c:pt idx="9">
                  <c:v>Ιρλανδία</c:v>
                </c:pt>
                <c:pt idx="10">
                  <c:v>Καναδάς</c:v>
                </c:pt>
                <c:pt idx="11">
                  <c:v>Σλοβενία</c:v>
                </c:pt>
                <c:pt idx="12">
                  <c:v>Τσεχία</c:v>
                </c:pt>
                <c:pt idx="13">
                  <c:v>Αυστραλία</c:v>
                </c:pt>
                <c:pt idx="14">
                  <c:v>Αυστρία</c:v>
                </c:pt>
                <c:pt idx="15">
                  <c:v>Δανία</c:v>
                </c:pt>
                <c:pt idx="16">
                  <c:v>Λουξεμβρούργο</c:v>
                </c:pt>
                <c:pt idx="17">
                  <c:v>Λετονία</c:v>
                </c:pt>
                <c:pt idx="18">
                  <c:v>Λιθουανία</c:v>
                </c:pt>
                <c:pt idx="19">
                  <c:v>Ισλανδία</c:v>
                </c:pt>
                <c:pt idx="20">
                  <c:v>Νορβηγία</c:v>
                </c:pt>
                <c:pt idx="21">
                  <c:v>Σουηδία</c:v>
                </c:pt>
                <c:pt idx="22">
                  <c:v>Βέλγιο</c:v>
                </c:pt>
                <c:pt idx="23">
                  <c:v>Ολλανδία</c:v>
                </c:pt>
              </c:strCache>
            </c:strRef>
          </c:cat>
          <c:val>
            <c:numRef>
              <c:f>Φύλλο1!$C$2:$C$25</c:f>
              <c:numCache>
                <c:formatCode>General</c:formatCode>
                <c:ptCount val="24"/>
                <c:pt idx="0" formatCode="0.00">
                  <c:v>4.4029017009695998E-2</c:v>
                </c:pt>
                <c:pt idx="3" formatCode="0.00">
                  <c:v>1.2359987054768999</c:v>
                </c:pt>
                <c:pt idx="4" formatCode="0.00">
                  <c:v>1.9734399394795199</c:v>
                </c:pt>
                <c:pt idx="5" formatCode="0.00">
                  <c:v>2.4242557931772302</c:v>
                </c:pt>
                <c:pt idx="6" formatCode="0.00">
                  <c:v>2.4106464442964999</c:v>
                </c:pt>
                <c:pt idx="8" formatCode="0.00">
                  <c:v>3.7257639083799199</c:v>
                </c:pt>
                <c:pt idx="10" formatCode="0.00">
                  <c:v>4.8242140752320202</c:v>
                </c:pt>
                <c:pt idx="11" formatCode="0.00">
                  <c:v>4.8882698334554098</c:v>
                </c:pt>
                <c:pt idx="14" formatCode="0.00">
                  <c:v>5.3386630548449903</c:v>
                </c:pt>
                <c:pt idx="15" formatCode="0.00">
                  <c:v>5.39294737557716</c:v>
                </c:pt>
                <c:pt idx="16" formatCode="0.00">
                  <c:v>6.1099214218813902</c:v>
                </c:pt>
                <c:pt idx="17" formatCode="0.00">
                  <c:v>6.9265096414459002</c:v>
                </c:pt>
                <c:pt idx="18" formatCode="0.00">
                  <c:v>7.2136754426502501</c:v>
                </c:pt>
                <c:pt idx="19" formatCode="0.00">
                  <c:v>7.8920270388369804</c:v>
                </c:pt>
                <c:pt idx="20" formatCode="0.00">
                  <c:v>6.3062736371169201</c:v>
                </c:pt>
                <c:pt idx="21" formatCode="0.00">
                  <c:v>7.9338911494699804</c:v>
                </c:pt>
                <c:pt idx="22" formatCode="0.00">
                  <c:v>9.1592940464079895</c:v>
                </c:pt>
              </c:numCache>
            </c:numRef>
          </c:val>
          <c:extLst>
            <c:ext xmlns:c16="http://schemas.microsoft.com/office/drawing/2014/chart" uri="{C3380CC4-5D6E-409C-BE32-E72D297353CC}">
              <c16:uniqueId val="{00000001-7F49-4D7E-970B-FE6535BAE6FC}"/>
            </c:ext>
          </c:extLst>
        </c:ser>
        <c:dLbls>
          <c:showLegendKey val="0"/>
          <c:showVal val="0"/>
          <c:showCatName val="0"/>
          <c:showSerName val="0"/>
          <c:showPercent val="0"/>
          <c:showBubbleSize val="0"/>
        </c:dLbls>
        <c:gapWidth val="219"/>
        <c:overlap val="-27"/>
        <c:axId val="576575752"/>
        <c:axId val="576580016"/>
      </c:barChart>
      <c:catAx>
        <c:axId val="5765757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l-GR"/>
          </a:p>
        </c:txPr>
        <c:crossAx val="576580016"/>
        <c:crosses val="autoZero"/>
        <c:auto val="1"/>
        <c:lblAlgn val="ctr"/>
        <c:lblOffset val="100"/>
        <c:noMultiLvlLbl val="0"/>
      </c:catAx>
      <c:valAx>
        <c:axId val="57658001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l-GR"/>
          </a:p>
        </c:txPr>
        <c:crossAx val="5765757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l-G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l-GR"/>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l-G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Φύλλο1!$B$1</c:f>
              <c:strCache>
                <c:ptCount val="1"/>
                <c:pt idx="0">
                  <c:v>2000</c:v>
                </c:pt>
              </c:strCache>
            </c:strRef>
          </c:tx>
          <c:spPr>
            <a:solidFill>
              <a:schemeClr val="accent1">
                <a:lumMod val="60000"/>
                <a:lumOff val="40000"/>
              </a:schemeClr>
            </a:solidFill>
            <a:ln>
              <a:noFill/>
            </a:ln>
            <a:effectLst/>
          </c:spPr>
          <c:invertIfNegative val="0"/>
          <c:dPt>
            <c:idx val="20"/>
            <c:invertIfNegative val="0"/>
            <c:bubble3D val="0"/>
            <c:spPr>
              <a:solidFill>
                <a:schemeClr val="accent1">
                  <a:lumMod val="75000"/>
                </a:schemeClr>
              </a:solidFill>
              <a:ln>
                <a:noFill/>
              </a:ln>
              <a:effectLst/>
            </c:spPr>
            <c:extLst>
              <c:ext xmlns:c16="http://schemas.microsoft.com/office/drawing/2014/chart" uri="{C3380CC4-5D6E-409C-BE32-E72D297353CC}">
                <c16:uniqueId val="{00000004-8054-49B9-B8EA-F789EE445A6E}"/>
              </c:ext>
            </c:extLst>
          </c:dPt>
          <c:dPt>
            <c:idx val="21"/>
            <c:invertIfNegative val="0"/>
            <c:bubble3D val="0"/>
            <c:spPr>
              <a:solidFill>
                <a:schemeClr val="accent1">
                  <a:lumMod val="75000"/>
                </a:schemeClr>
              </a:solidFill>
              <a:ln>
                <a:noFill/>
              </a:ln>
              <a:effectLst/>
            </c:spPr>
            <c:extLst>
              <c:ext xmlns:c16="http://schemas.microsoft.com/office/drawing/2014/chart" uri="{C3380CC4-5D6E-409C-BE32-E72D297353CC}">
                <c16:uniqueId val="{00000006-8054-49B9-B8EA-F789EE445A6E}"/>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l-G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Φύλλο1!$A$2:$A$34</c:f>
              <c:strCache>
                <c:ptCount val="33"/>
                <c:pt idx="0">
                  <c:v>Μεξικό</c:v>
                </c:pt>
                <c:pt idx="1">
                  <c:v>Τουρκία</c:v>
                </c:pt>
                <c:pt idx="2">
                  <c:v>Ιταλία</c:v>
                </c:pt>
                <c:pt idx="3">
                  <c:v>Χιλή</c:v>
                </c:pt>
                <c:pt idx="4">
                  <c:v>Ηνωμένες Πολιτείες</c:v>
                </c:pt>
                <c:pt idx="5">
                  <c:v>Νέα Ζηλανδία</c:v>
                </c:pt>
                <c:pt idx="6">
                  <c:v>Ιρλανδία</c:v>
                </c:pt>
                <c:pt idx="7">
                  <c:v>Ηνωμένο Βασίλειο</c:v>
                </c:pt>
                <c:pt idx="8">
                  <c:v>Καναδάς</c:v>
                </c:pt>
                <c:pt idx="9">
                  <c:v>Ισπανία</c:v>
                </c:pt>
                <c:pt idx="10">
                  <c:v>Ισραήλ</c:v>
                </c:pt>
                <c:pt idx="11">
                  <c:v>Σουηδία</c:v>
                </c:pt>
                <c:pt idx="12">
                  <c:v>Αυστραλία</c:v>
                </c:pt>
                <c:pt idx="13">
                  <c:v>Δανία</c:v>
                </c:pt>
                <c:pt idx="14">
                  <c:v>Εσθονία</c:v>
                </c:pt>
                <c:pt idx="15">
                  <c:v>Φινλανδία</c:v>
                </c:pt>
                <c:pt idx="16">
                  <c:v>Αυστρία</c:v>
                </c:pt>
                <c:pt idx="17">
                  <c:v>Πολωνία</c:v>
                </c:pt>
                <c:pt idx="18">
                  <c:v>Πορτογαλία</c:v>
                </c:pt>
                <c:pt idx="19">
                  <c:v>Σλοβεβνία</c:v>
                </c:pt>
                <c:pt idx="20">
                  <c:v>ΟΑΣΑ</c:v>
                </c:pt>
                <c:pt idx="21">
                  <c:v>Ελλάδα</c:v>
                </c:pt>
                <c:pt idx="22">
                  <c:v>Λουξεμβρούργο</c:v>
                </c:pt>
                <c:pt idx="23">
                  <c:v>Γαλλία</c:v>
                </c:pt>
                <c:pt idx="24">
                  <c:v>Ολλανδία</c:v>
                </c:pt>
                <c:pt idx="25">
                  <c:v>Ουγγαρία</c:v>
                </c:pt>
                <c:pt idx="26">
                  <c:v>Σουηδία</c:v>
                </c:pt>
                <c:pt idx="27">
                  <c:v>Νορβηγία</c:v>
                </c:pt>
                <c:pt idx="28">
                  <c:v>Λετονία</c:v>
                </c:pt>
                <c:pt idx="29">
                  <c:v>Κορέα</c:v>
                </c:pt>
                <c:pt idx="30">
                  <c:v>Γερμανία</c:v>
                </c:pt>
                <c:pt idx="31">
                  <c:v>Βέλγιο</c:v>
                </c:pt>
                <c:pt idx="32">
                  <c:v>Ιαπωνία</c:v>
                </c:pt>
              </c:strCache>
            </c:strRef>
          </c:cat>
          <c:val>
            <c:numRef>
              <c:f>Φύλλο1!$B$2:$B$34</c:f>
              <c:numCache>
                <c:formatCode>General</c:formatCode>
                <c:ptCount val="33"/>
                <c:pt idx="0">
                  <c:v>0.05</c:v>
                </c:pt>
                <c:pt idx="2">
                  <c:v>0.15</c:v>
                </c:pt>
                <c:pt idx="4">
                  <c:v>0.31</c:v>
                </c:pt>
                <c:pt idx="6">
                  <c:v>1.41</c:v>
                </c:pt>
                <c:pt idx="7">
                  <c:v>0.92</c:v>
                </c:pt>
                <c:pt idx="8">
                  <c:v>0.31</c:v>
                </c:pt>
                <c:pt idx="9">
                  <c:v>0.51</c:v>
                </c:pt>
                <c:pt idx="10">
                  <c:v>0.89</c:v>
                </c:pt>
                <c:pt idx="11">
                  <c:v>0.63</c:v>
                </c:pt>
                <c:pt idx="12">
                  <c:v>0.4</c:v>
                </c:pt>
                <c:pt idx="13">
                  <c:v>0.76</c:v>
                </c:pt>
                <c:pt idx="14">
                  <c:v>0.78</c:v>
                </c:pt>
                <c:pt idx="15">
                  <c:v>1.03</c:v>
                </c:pt>
                <c:pt idx="16">
                  <c:v>0.59</c:v>
                </c:pt>
                <c:pt idx="18">
                  <c:v>0.77</c:v>
                </c:pt>
                <c:pt idx="19">
                  <c:v>0.77</c:v>
                </c:pt>
                <c:pt idx="20">
                  <c:v>0.93600000000000005</c:v>
                </c:pt>
                <c:pt idx="21">
                  <c:v>0.98</c:v>
                </c:pt>
                <c:pt idx="23">
                  <c:v>1.03</c:v>
                </c:pt>
                <c:pt idx="24">
                  <c:v>1.56</c:v>
                </c:pt>
                <c:pt idx="25">
                  <c:v>1.02</c:v>
                </c:pt>
                <c:pt idx="26">
                  <c:v>1.2</c:v>
                </c:pt>
                <c:pt idx="27">
                  <c:v>0.69</c:v>
                </c:pt>
                <c:pt idx="28">
                  <c:v>1.86</c:v>
                </c:pt>
                <c:pt idx="29">
                  <c:v>0.65</c:v>
                </c:pt>
                <c:pt idx="30">
                  <c:v>1.07</c:v>
                </c:pt>
                <c:pt idx="31">
                  <c:v>1.58</c:v>
                </c:pt>
                <c:pt idx="32">
                  <c:v>2.82</c:v>
                </c:pt>
              </c:numCache>
            </c:numRef>
          </c:val>
          <c:extLst>
            <c:ext xmlns:c16="http://schemas.microsoft.com/office/drawing/2014/chart" uri="{C3380CC4-5D6E-409C-BE32-E72D297353CC}">
              <c16:uniqueId val="{00000000-8054-49B9-B8EA-F789EE445A6E}"/>
            </c:ext>
          </c:extLst>
        </c:ser>
        <c:ser>
          <c:idx val="1"/>
          <c:order val="1"/>
          <c:tx>
            <c:strRef>
              <c:f>Φύλλο1!$C$1</c:f>
              <c:strCache>
                <c:ptCount val="1"/>
                <c:pt idx="0">
                  <c:v>2018</c:v>
                </c:pt>
              </c:strCache>
            </c:strRef>
          </c:tx>
          <c:spPr>
            <a:solidFill>
              <a:schemeClr val="accent2"/>
            </a:solidFill>
            <a:ln>
              <a:noFill/>
            </a:ln>
            <a:effectLst/>
          </c:spPr>
          <c:invertIfNegative val="0"/>
          <c:dPt>
            <c:idx val="20"/>
            <c:invertIfNegative val="0"/>
            <c:bubble3D val="0"/>
            <c:spPr>
              <a:solidFill>
                <a:srgbClr val="FF0000"/>
              </a:solidFill>
              <a:ln>
                <a:noFill/>
              </a:ln>
              <a:effectLst/>
            </c:spPr>
            <c:extLst>
              <c:ext xmlns:c16="http://schemas.microsoft.com/office/drawing/2014/chart" uri="{C3380CC4-5D6E-409C-BE32-E72D297353CC}">
                <c16:uniqueId val="{00000003-8054-49B9-B8EA-F789EE445A6E}"/>
              </c:ext>
            </c:extLst>
          </c:dPt>
          <c:dPt>
            <c:idx val="21"/>
            <c:invertIfNegative val="0"/>
            <c:bubble3D val="0"/>
            <c:spPr>
              <a:solidFill>
                <a:srgbClr val="FF0000"/>
              </a:solidFill>
              <a:ln>
                <a:noFill/>
              </a:ln>
              <a:effectLst/>
            </c:spPr>
            <c:extLst>
              <c:ext xmlns:c16="http://schemas.microsoft.com/office/drawing/2014/chart" uri="{C3380CC4-5D6E-409C-BE32-E72D297353CC}">
                <c16:uniqueId val="{00000005-8054-49B9-B8EA-F789EE445A6E}"/>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l-G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Φύλλο1!$A$2:$A$34</c:f>
              <c:strCache>
                <c:ptCount val="33"/>
                <c:pt idx="0">
                  <c:v>Μεξικό</c:v>
                </c:pt>
                <c:pt idx="1">
                  <c:v>Τουρκία</c:v>
                </c:pt>
                <c:pt idx="2">
                  <c:v>Ιταλία</c:v>
                </c:pt>
                <c:pt idx="3">
                  <c:v>Χιλή</c:v>
                </c:pt>
                <c:pt idx="4">
                  <c:v>Ηνωμένες Πολιτείες</c:v>
                </c:pt>
                <c:pt idx="5">
                  <c:v>Νέα Ζηλανδία</c:v>
                </c:pt>
                <c:pt idx="6">
                  <c:v>Ιρλανδία</c:v>
                </c:pt>
                <c:pt idx="7">
                  <c:v>Ηνωμένο Βασίλειο</c:v>
                </c:pt>
                <c:pt idx="8">
                  <c:v>Καναδάς</c:v>
                </c:pt>
                <c:pt idx="9">
                  <c:v>Ισπανία</c:v>
                </c:pt>
                <c:pt idx="10">
                  <c:v>Ισραήλ</c:v>
                </c:pt>
                <c:pt idx="11">
                  <c:v>Σουηδία</c:v>
                </c:pt>
                <c:pt idx="12">
                  <c:v>Αυστραλία</c:v>
                </c:pt>
                <c:pt idx="13">
                  <c:v>Δανία</c:v>
                </c:pt>
                <c:pt idx="14">
                  <c:v>Εσθονία</c:v>
                </c:pt>
                <c:pt idx="15">
                  <c:v>Φινλανδία</c:v>
                </c:pt>
                <c:pt idx="16">
                  <c:v>Αυστρία</c:v>
                </c:pt>
                <c:pt idx="17">
                  <c:v>Πολωνία</c:v>
                </c:pt>
                <c:pt idx="18">
                  <c:v>Πορτογαλία</c:v>
                </c:pt>
                <c:pt idx="19">
                  <c:v>Σλοβεβνία</c:v>
                </c:pt>
                <c:pt idx="20">
                  <c:v>ΟΑΣΑ</c:v>
                </c:pt>
                <c:pt idx="21">
                  <c:v>Ελλάδα</c:v>
                </c:pt>
                <c:pt idx="22">
                  <c:v>Λουξεμβρούργο</c:v>
                </c:pt>
                <c:pt idx="23">
                  <c:v>Γαλλία</c:v>
                </c:pt>
                <c:pt idx="24">
                  <c:v>Ολλανδία</c:v>
                </c:pt>
                <c:pt idx="25">
                  <c:v>Ουγγαρία</c:v>
                </c:pt>
                <c:pt idx="26">
                  <c:v>Σουηδία</c:v>
                </c:pt>
                <c:pt idx="27">
                  <c:v>Νορβηγία</c:v>
                </c:pt>
                <c:pt idx="28">
                  <c:v>Λετονία</c:v>
                </c:pt>
                <c:pt idx="29">
                  <c:v>Κορέα</c:v>
                </c:pt>
                <c:pt idx="30">
                  <c:v>Γερμανία</c:v>
                </c:pt>
                <c:pt idx="31">
                  <c:v>Βέλγιο</c:v>
                </c:pt>
                <c:pt idx="32">
                  <c:v>Ιαπωνία</c:v>
                </c:pt>
              </c:strCache>
            </c:strRef>
          </c:cat>
          <c:val>
            <c:numRef>
              <c:f>Φύλλο1!$C$2:$C$34</c:f>
              <c:numCache>
                <c:formatCode>General</c:formatCode>
                <c:ptCount val="33"/>
                <c:pt idx="0">
                  <c:v>0.03</c:v>
                </c:pt>
                <c:pt idx="1">
                  <c:v>0.05</c:v>
                </c:pt>
                <c:pt idx="2">
                  <c:v>0.09</c:v>
                </c:pt>
                <c:pt idx="3">
                  <c:v>0.15</c:v>
                </c:pt>
                <c:pt idx="4">
                  <c:v>0.25</c:v>
                </c:pt>
                <c:pt idx="5">
                  <c:v>0.32</c:v>
                </c:pt>
                <c:pt idx="6">
                  <c:v>0.34</c:v>
                </c:pt>
                <c:pt idx="7">
                  <c:v>0.35</c:v>
                </c:pt>
                <c:pt idx="8">
                  <c:v>0.36</c:v>
                </c:pt>
                <c:pt idx="9">
                  <c:v>0.36</c:v>
                </c:pt>
                <c:pt idx="10">
                  <c:v>0.4</c:v>
                </c:pt>
                <c:pt idx="11">
                  <c:v>0.41</c:v>
                </c:pt>
                <c:pt idx="12">
                  <c:v>0.42</c:v>
                </c:pt>
                <c:pt idx="13">
                  <c:v>0.52</c:v>
                </c:pt>
                <c:pt idx="14">
                  <c:v>0.52</c:v>
                </c:pt>
                <c:pt idx="15">
                  <c:v>0.54</c:v>
                </c:pt>
                <c:pt idx="16">
                  <c:v>0.57999999999999996</c:v>
                </c:pt>
                <c:pt idx="17">
                  <c:v>0.62</c:v>
                </c:pt>
                <c:pt idx="18">
                  <c:v>0.64</c:v>
                </c:pt>
                <c:pt idx="19">
                  <c:v>0.66</c:v>
                </c:pt>
                <c:pt idx="20">
                  <c:v>0.68220000000000003</c:v>
                </c:pt>
                <c:pt idx="21">
                  <c:v>0.74</c:v>
                </c:pt>
                <c:pt idx="22">
                  <c:v>0.81</c:v>
                </c:pt>
                <c:pt idx="23">
                  <c:v>0.83</c:v>
                </c:pt>
                <c:pt idx="24">
                  <c:v>0.86</c:v>
                </c:pt>
                <c:pt idx="25">
                  <c:v>0.87</c:v>
                </c:pt>
                <c:pt idx="26">
                  <c:v>0.93</c:v>
                </c:pt>
                <c:pt idx="27">
                  <c:v>1.05</c:v>
                </c:pt>
                <c:pt idx="28">
                  <c:v>1.22</c:v>
                </c:pt>
                <c:pt idx="29">
                  <c:v>1.26</c:v>
                </c:pt>
                <c:pt idx="30">
                  <c:v>1.28</c:v>
                </c:pt>
                <c:pt idx="31">
                  <c:v>1.41</c:v>
                </c:pt>
                <c:pt idx="32">
                  <c:v>2.61</c:v>
                </c:pt>
              </c:numCache>
            </c:numRef>
          </c:val>
          <c:extLst>
            <c:ext xmlns:c16="http://schemas.microsoft.com/office/drawing/2014/chart" uri="{C3380CC4-5D6E-409C-BE32-E72D297353CC}">
              <c16:uniqueId val="{00000001-8054-49B9-B8EA-F789EE445A6E}"/>
            </c:ext>
          </c:extLst>
        </c:ser>
        <c:dLbls>
          <c:showLegendKey val="0"/>
          <c:showVal val="0"/>
          <c:showCatName val="0"/>
          <c:showSerName val="0"/>
          <c:showPercent val="0"/>
          <c:showBubbleSize val="0"/>
        </c:dLbls>
        <c:gapWidth val="182"/>
        <c:axId val="665075496"/>
        <c:axId val="665078120"/>
      </c:barChart>
      <c:catAx>
        <c:axId val="66507549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665078120"/>
        <c:crosses val="autoZero"/>
        <c:auto val="1"/>
        <c:lblAlgn val="ctr"/>
        <c:lblOffset val="100"/>
        <c:noMultiLvlLbl val="0"/>
      </c:catAx>
      <c:valAx>
        <c:axId val="66507812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6650754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legend>
    <c:plotVisOnly val="1"/>
    <c:dispBlanksAs val="gap"/>
    <c:showDLblsOverMax val="0"/>
  </c:chart>
  <c:spPr>
    <a:solidFill>
      <a:schemeClr val="bg1"/>
    </a:solidFill>
    <a:ln w="9525" cap="flat" cmpd="sng" algn="ctr">
      <a:noFill/>
      <a:round/>
    </a:ln>
    <a:effectLst/>
  </c:spPr>
  <c:txPr>
    <a:bodyPr/>
    <a:lstStyle/>
    <a:p>
      <a:pPr>
        <a:defRPr/>
      </a:pPr>
      <a:endParaRPr lang="el-GR"/>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l-G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Φύλλο1!$B$1</c:f>
              <c:strCache>
                <c:ptCount val="1"/>
                <c:pt idx="0">
                  <c:v>Σειρά 1</c:v>
                </c:pt>
              </c:strCache>
            </c:strRef>
          </c:tx>
          <c:spPr>
            <a:solidFill>
              <a:schemeClr val="accent1"/>
            </a:solidFill>
            <a:ln>
              <a:noFill/>
            </a:ln>
            <a:effectLst/>
          </c:spPr>
          <c:invertIfNegative val="0"/>
          <c:dPt>
            <c:idx val="1"/>
            <c:invertIfNegative val="0"/>
            <c:bubble3D val="0"/>
            <c:spPr>
              <a:solidFill>
                <a:srgbClr val="FF0000"/>
              </a:solidFill>
              <a:ln>
                <a:noFill/>
              </a:ln>
              <a:effectLst/>
            </c:spPr>
            <c:extLst>
              <c:ext xmlns:c16="http://schemas.microsoft.com/office/drawing/2014/chart" uri="{C3380CC4-5D6E-409C-BE32-E72D297353CC}">
                <c16:uniqueId val="{00000003-9F3D-4956-ABFD-CDBE949B04EB}"/>
              </c:ext>
            </c:extLst>
          </c:dPt>
          <c:dPt>
            <c:idx val="9"/>
            <c:invertIfNegative val="0"/>
            <c:bubble3D val="0"/>
            <c:spPr>
              <a:solidFill>
                <a:srgbClr val="FF0000"/>
              </a:solidFill>
              <a:ln>
                <a:noFill/>
              </a:ln>
              <a:effectLst/>
            </c:spPr>
            <c:extLst>
              <c:ext xmlns:c16="http://schemas.microsoft.com/office/drawing/2014/chart" uri="{C3380CC4-5D6E-409C-BE32-E72D297353CC}">
                <c16:uniqueId val="{00000004-9F3D-4956-ABFD-CDBE949B04EB}"/>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l-G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Φύλλο1!$A$2:$A$18</c:f>
              <c:strCache>
                <c:ptCount val="17"/>
                <c:pt idx="0">
                  <c:v>Μεξικό</c:v>
                </c:pt>
                <c:pt idx="1">
                  <c:v>Ελλάδα</c:v>
                </c:pt>
                <c:pt idx="2">
                  <c:v>Ισλανδία</c:v>
                </c:pt>
                <c:pt idx="3">
                  <c:v>Ολλανδία</c:v>
                </c:pt>
                <c:pt idx="4">
                  <c:v>Ιταλία</c:v>
                </c:pt>
                <c:pt idx="5">
                  <c:v>Δανία</c:v>
                </c:pt>
                <c:pt idx="6">
                  <c:v>Ιαπωνία</c:v>
                </c:pt>
                <c:pt idx="7">
                  <c:v>Πολωνία</c:v>
                </c:pt>
                <c:pt idx="8">
                  <c:v>Νορβηγία</c:v>
                </c:pt>
                <c:pt idx="9">
                  <c:v>ΟΟΣΑ</c:v>
                </c:pt>
                <c:pt idx="10">
                  <c:v>Νέα Ζηλανδία</c:v>
                </c:pt>
                <c:pt idx="11">
                  <c:v>Λετονία</c:v>
                </c:pt>
                <c:pt idx="12">
                  <c:v>Λιθουανία</c:v>
                </c:pt>
                <c:pt idx="13">
                  <c:v>Σουηδία</c:v>
                </c:pt>
                <c:pt idx="14">
                  <c:v>Εσθονία</c:v>
                </c:pt>
                <c:pt idx="15">
                  <c:v>Τσεχία</c:v>
                </c:pt>
                <c:pt idx="16">
                  <c:v>Τουρκία</c:v>
                </c:pt>
              </c:strCache>
            </c:strRef>
          </c:cat>
          <c:val>
            <c:numRef>
              <c:f>Φύλλο1!$B$2:$B$18</c:f>
              <c:numCache>
                <c:formatCode>0.0</c:formatCode>
                <c:ptCount val="17"/>
                <c:pt idx="0">
                  <c:v>0.192104189653961</c:v>
                </c:pt>
                <c:pt idx="1">
                  <c:v>0.54457293171972099</c:v>
                </c:pt>
                <c:pt idx="2">
                  <c:v>14.0323812491213</c:v>
                </c:pt>
                <c:pt idx="3">
                  <c:v>15.1904480925756</c:v>
                </c:pt>
                <c:pt idx="4">
                  <c:v>15.999488141152099</c:v>
                </c:pt>
                <c:pt idx="5">
                  <c:v>29.380697059901902</c:v>
                </c:pt>
                <c:pt idx="6">
                  <c:v>33.3527266215509</c:v>
                </c:pt>
                <c:pt idx="7">
                  <c:v>35.077012932436197</c:v>
                </c:pt>
                <c:pt idx="8">
                  <c:v>35.903132439887003</c:v>
                </c:pt>
                <c:pt idx="9">
                  <c:v>36.512377256608197</c:v>
                </c:pt>
                <c:pt idx="10">
                  <c:v>38.387175047150599</c:v>
                </c:pt>
                <c:pt idx="11">
                  <c:v>38.857158501433403</c:v>
                </c:pt>
                <c:pt idx="12">
                  <c:v>51.337829601698502</c:v>
                </c:pt>
                <c:pt idx="13">
                  <c:v>59.055943763730802</c:v>
                </c:pt>
                <c:pt idx="14">
                  <c:v>63.891929964247197</c:v>
                </c:pt>
                <c:pt idx="15">
                  <c:v>75.751383247838106</c:v>
                </c:pt>
                <c:pt idx="16">
                  <c:v>77.2440523216343</c:v>
                </c:pt>
              </c:numCache>
            </c:numRef>
          </c:val>
          <c:extLst>
            <c:ext xmlns:c16="http://schemas.microsoft.com/office/drawing/2014/chart" uri="{C3380CC4-5D6E-409C-BE32-E72D297353CC}">
              <c16:uniqueId val="{00000000-9F3D-4956-ABFD-CDBE949B04EB}"/>
            </c:ext>
          </c:extLst>
        </c:ser>
        <c:dLbls>
          <c:showLegendKey val="0"/>
          <c:showVal val="0"/>
          <c:showCatName val="0"/>
          <c:showSerName val="0"/>
          <c:showPercent val="0"/>
          <c:showBubbleSize val="0"/>
        </c:dLbls>
        <c:gapWidth val="182"/>
        <c:axId val="661843368"/>
        <c:axId val="661846320"/>
      </c:barChart>
      <c:catAx>
        <c:axId val="66184336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l-GR"/>
          </a:p>
        </c:txPr>
        <c:crossAx val="661846320"/>
        <c:crosses val="autoZero"/>
        <c:auto val="1"/>
        <c:lblAlgn val="ctr"/>
        <c:lblOffset val="100"/>
        <c:noMultiLvlLbl val="0"/>
      </c:catAx>
      <c:valAx>
        <c:axId val="661846320"/>
        <c:scaling>
          <c:orientation val="minMax"/>
        </c:scaling>
        <c:delete val="0"/>
        <c:axPos val="b"/>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661843368"/>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l-GR"/>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0.04264</cdr:x>
      <cdr:y>0.02478</cdr:y>
    </cdr:from>
    <cdr:to>
      <cdr:x>0.99579</cdr:x>
      <cdr:y>0.09334</cdr:y>
    </cdr:to>
    <cdr:sp macro="" textlink="">
      <cdr:nvSpPr>
        <cdr:cNvPr id="2" name="TextBox 1"/>
        <cdr:cNvSpPr txBox="1"/>
      </cdr:nvSpPr>
      <cdr:spPr>
        <a:xfrm xmlns:a="http://schemas.openxmlformats.org/drawingml/2006/main">
          <a:off x="248226" y="64358"/>
          <a:ext cx="5549296" cy="178097"/>
        </a:xfrm>
        <a:prstGeom xmlns:a="http://schemas.openxmlformats.org/drawingml/2006/main" prst="rect">
          <a:avLst/>
        </a:prstGeom>
        <a:solidFill xmlns:a="http://schemas.openxmlformats.org/drawingml/2006/main">
          <a:srgbClr val="EAEAEA"/>
        </a:solidFill>
      </cdr:spPr>
      <cdr:txBody>
        <a:bodyPr xmlns:a="http://schemas.openxmlformats.org/drawingml/2006/main" vertOverflow="clip" wrap="square" rtlCol="0"/>
        <a:lstStyle xmlns:a="http://schemas.openxmlformats.org/drawingml/2006/main"/>
        <a:p xmlns:a="http://schemas.openxmlformats.org/drawingml/2006/main">
          <a:endParaRPr lang="en-GB" sz="1100"/>
        </a:p>
      </cdr:txBody>
    </cdr:sp>
  </cdr:relSizeAnchor>
  <cdr:relSizeAnchor xmlns:cdr="http://schemas.openxmlformats.org/drawingml/2006/chartDrawing">
    <cdr:from>
      <cdr:x>0.20017</cdr:x>
      <cdr:y>0.03506</cdr:y>
    </cdr:from>
    <cdr:to>
      <cdr:x>0.34391</cdr:x>
      <cdr:y>0.08326</cdr:y>
    </cdr:to>
    <cdr:sp macro="" textlink="">
      <cdr:nvSpPr>
        <cdr:cNvPr id="11" name="TextBox 10"/>
        <cdr:cNvSpPr txBox="1"/>
      </cdr:nvSpPr>
      <cdr:spPr>
        <a:xfrm xmlns:a="http://schemas.openxmlformats.org/drawingml/2006/main">
          <a:off x="1135380" y="121920"/>
          <a:ext cx="815340" cy="16764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GB" sz="1100"/>
        </a:p>
      </cdr:txBody>
    </cdr:sp>
  </cdr:relSizeAnchor>
  <cdr:relSizeAnchor xmlns:cdr="http://schemas.openxmlformats.org/drawingml/2006/chartDrawing">
    <cdr:from>
      <cdr:x>0.10732</cdr:x>
      <cdr:y>0.02181</cdr:y>
    </cdr:from>
    <cdr:to>
      <cdr:x>0.31704</cdr:x>
      <cdr:y>0.08754</cdr:y>
    </cdr:to>
    <cdr:grpSp>
      <cdr:nvGrpSpPr>
        <cdr:cNvPr id="13" name="Group 12">
          <a:extLst xmlns:a="http://schemas.openxmlformats.org/drawingml/2006/main">
            <a:ext uri="{FF2B5EF4-FFF2-40B4-BE49-F238E27FC236}">
              <a16:creationId xmlns:a16="http://schemas.microsoft.com/office/drawing/2014/main" id="{80480D3E-69F4-4466-8E27-A7C34DDEFDD5}"/>
            </a:ext>
          </a:extLst>
        </cdr:cNvPr>
        <cdr:cNvGrpSpPr/>
      </cdr:nvGrpSpPr>
      <cdr:grpSpPr>
        <a:xfrm xmlns:a="http://schemas.openxmlformats.org/drawingml/2006/main">
          <a:off x="599966" y="60032"/>
          <a:ext cx="1172428" cy="180920"/>
          <a:chOff x="1180204" y="106680"/>
          <a:chExt cx="1189616" cy="228600"/>
        </a:xfrm>
      </cdr:grpSpPr>
      <cdr:sp macro="" textlink="">
        <cdr:nvSpPr>
          <cdr:cNvPr id="7" name="xlamShapesMarker"/>
          <cdr:cNvSpPr/>
        </cdr:nvSpPr>
        <cdr:spPr>
          <a:xfrm xmlns:a="http://schemas.openxmlformats.org/drawingml/2006/main">
            <a:off x="1180204" y="194967"/>
            <a:ext cx="175374" cy="96406"/>
          </a:xfrm>
          <a:prstGeom xmlns:a="http://schemas.openxmlformats.org/drawingml/2006/main" prst="rect">
            <a:avLst/>
          </a:prstGeom>
          <a:solidFill xmlns:a="http://schemas.openxmlformats.org/drawingml/2006/main">
            <a:srgbClr val="006BB6"/>
          </a:solidFill>
          <a:ln xmlns:a="http://schemas.openxmlformats.org/drawingml/2006/main" w="6350" cap="flat" cmpd="sng" algn="ctr">
            <a:no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n-US"/>
          </a:p>
        </cdr:txBody>
      </cdr:sp>
      <cdr:sp macro="" textlink="">
        <cdr:nvSpPr>
          <cdr:cNvPr id="12" name="TextBox 11"/>
          <cdr:cNvSpPr txBox="1"/>
        </cdr:nvSpPr>
        <cdr:spPr>
          <a:xfrm xmlns:a="http://schemas.openxmlformats.org/drawingml/2006/main">
            <a:off x="1310640" y="106680"/>
            <a:ext cx="1059180" cy="2286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l-GR" sz="750" b="0" i="0">
                <a:solidFill>
                  <a:srgbClr val="000000"/>
                </a:solidFill>
                <a:latin typeface="Arial Narrow" panose="020B0606020202030204" pitchFamily="34" charset="0"/>
              </a:rPr>
              <a:t>Ναι, απαιτείται</a:t>
            </a:r>
            <a:endParaRPr lang="en-GB" sz="750" b="0" i="0">
              <a:solidFill>
                <a:srgbClr val="000000"/>
              </a:solidFill>
              <a:latin typeface="Arial Narrow" panose="020B0606020202030204" pitchFamily="34" charset="0"/>
            </a:endParaRPr>
          </a:p>
        </cdr:txBody>
      </cdr:sp>
    </cdr:grpSp>
  </cdr:relSizeAnchor>
  <cdr:relSizeAnchor xmlns:cdr="http://schemas.openxmlformats.org/drawingml/2006/chartDrawing">
    <cdr:from>
      <cdr:x>0.31001</cdr:x>
      <cdr:y>0.01992</cdr:y>
    </cdr:from>
    <cdr:to>
      <cdr:x>0.66554</cdr:x>
      <cdr:y>0.10149</cdr:y>
    </cdr:to>
    <cdr:grpSp>
      <cdr:nvGrpSpPr>
        <cdr:cNvPr id="16" name="Group 15">
          <a:extLst xmlns:a="http://schemas.openxmlformats.org/drawingml/2006/main">
            <a:ext uri="{FF2B5EF4-FFF2-40B4-BE49-F238E27FC236}">
              <a16:creationId xmlns:a16="http://schemas.microsoft.com/office/drawing/2014/main" id="{34E1BE10-CE31-4642-83E7-33064C8DCBF7}"/>
            </a:ext>
          </a:extLst>
        </cdr:cNvPr>
        <cdr:cNvGrpSpPr/>
      </cdr:nvGrpSpPr>
      <cdr:grpSpPr>
        <a:xfrm xmlns:a="http://schemas.openxmlformats.org/drawingml/2006/main">
          <a:off x="1450821" y="66017"/>
          <a:ext cx="1663855" cy="270380"/>
          <a:chOff x="2409580" y="133003"/>
          <a:chExt cx="1453336" cy="218440"/>
        </a:xfrm>
      </cdr:grpSpPr>
      <cdr:sp macro="" textlink="">
        <cdr:nvSpPr>
          <cdr:cNvPr id="10" name="xlamShapesMarker"/>
          <cdr:cNvSpPr/>
        </cdr:nvSpPr>
        <cdr:spPr>
          <a:xfrm xmlns:a="http://schemas.openxmlformats.org/drawingml/2006/main">
            <a:off x="2409580" y="180340"/>
            <a:ext cx="130480" cy="76318"/>
          </a:xfrm>
          <a:prstGeom xmlns:a="http://schemas.openxmlformats.org/drawingml/2006/main" prst="rect">
            <a:avLst/>
          </a:prstGeom>
          <a:solidFill xmlns:a="http://schemas.openxmlformats.org/drawingml/2006/main">
            <a:srgbClr val="7FA8D9"/>
          </a:solidFill>
          <a:ln xmlns:a="http://schemas.openxmlformats.org/drawingml/2006/main" w="6350" cap="flat" cmpd="sng" algn="ctr">
            <a:no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chemeClr val="lt1"/>
                </a:solidFill>
                <a:latin typeface="+mn-lt"/>
                <a:ea typeface="+mn-ea"/>
                <a:cs typeface="+mn-cs"/>
              </a:defRPr>
            </a:lvl1pPr>
            <a:lvl2pPr marL="457200" indent="0">
              <a:defRPr sz="1100">
                <a:solidFill>
                  <a:schemeClr val="lt1"/>
                </a:solidFill>
                <a:latin typeface="+mn-lt"/>
                <a:ea typeface="+mn-ea"/>
                <a:cs typeface="+mn-cs"/>
              </a:defRPr>
            </a:lvl2pPr>
            <a:lvl3pPr marL="914400" indent="0">
              <a:defRPr sz="1100">
                <a:solidFill>
                  <a:schemeClr val="lt1"/>
                </a:solidFill>
                <a:latin typeface="+mn-lt"/>
                <a:ea typeface="+mn-ea"/>
                <a:cs typeface="+mn-cs"/>
              </a:defRPr>
            </a:lvl3pPr>
            <a:lvl4pPr marL="1371600" indent="0">
              <a:defRPr sz="1100">
                <a:solidFill>
                  <a:schemeClr val="lt1"/>
                </a:solidFill>
                <a:latin typeface="+mn-lt"/>
                <a:ea typeface="+mn-ea"/>
                <a:cs typeface="+mn-cs"/>
              </a:defRPr>
            </a:lvl4pPr>
            <a:lvl5pPr marL="1828800" indent="0">
              <a:defRPr sz="1100">
                <a:solidFill>
                  <a:schemeClr val="lt1"/>
                </a:solidFill>
                <a:latin typeface="+mn-lt"/>
                <a:ea typeface="+mn-ea"/>
                <a:cs typeface="+mn-cs"/>
              </a:defRPr>
            </a:lvl5pPr>
            <a:lvl6pPr marL="2286000" indent="0">
              <a:defRPr sz="1100">
                <a:solidFill>
                  <a:schemeClr val="lt1"/>
                </a:solidFill>
                <a:latin typeface="+mn-lt"/>
                <a:ea typeface="+mn-ea"/>
                <a:cs typeface="+mn-cs"/>
              </a:defRPr>
            </a:lvl6pPr>
            <a:lvl7pPr marL="2743200" indent="0">
              <a:defRPr sz="1100">
                <a:solidFill>
                  <a:schemeClr val="lt1"/>
                </a:solidFill>
                <a:latin typeface="+mn-lt"/>
                <a:ea typeface="+mn-ea"/>
                <a:cs typeface="+mn-cs"/>
              </a:defRPr>
            </a:lvl7pPr>
            <a:lvl8pPr marL="3200400" indent="0">
              <a:defRPr sz="1100">
                <a:solidFill>
                  <a:schemeClr val="lt1"/>
                </a:solidFill>
                <a:latin typeface="+mn-lt"/>
                <a:ea typeface="+mn-ea"/>
                <a:cs typeface="+mn-cs"/>
              </a:defRPr>
            </a:lvl8pPr>
            <a:lvl9pPr marL="3657600" indent="0">
              <a:defRPr sz="1100">
                <a:solidFill>
                  <a:schemeClr val="lt1"/>
                </a:solidFill>
                <a:latin typeface="+mn-lt"/>
                <a:ea typeface="+mn-ea"/>
                <a:cs typeface="+mn-cs"/>
              </a:defRPr>
            </a:lvl9pPr>
          </a:lstStyle>
          <a:p xmlns:a="http://schemas.openxmlformats.org/drawingml/2006/main">
            <a:endParaRPr lang="en-US"/>
          </a:p>
        </cdr:txBody>
      </cdr:sp>
      <cdr:sp macro="" textlink="">
        <cdr:nvSpPr>
          <cdr:cNvPr id="15" name="TextBox 1"/>
          <cdr:cNvSpPr txBox="1"/>
        </cdr:nvSpPr>
        <cdr:spPr>
          <a:xfrm xmlns:a="http://schemas.openxmlformats.org/drawingml/2006/main">
            <a:off x="2496396" y="133003"/>
            <a:ext cx="1366520" cy="218440"/>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l-GR" sz="750" b="0" i="0">
                <a:solidFill>
                  <a:srgbClr val="000000"/>
                </a:solidFill>
                <a:latin typeface="Arial Narrow" panose="020B0606020202030204" pitchFamily="34" charset="0"/>
              </a:rPr>
              <a:t>Εξαρτάται</a:t>
            </a:r>
            <a:r>
              <a:rPr lang="el-GR" sz="750" b="0" i="0" baseline="0">
                <a:solidFill>
                  <a:srgbClr val="000000"/>
                </a:solidFill>
                <a:latin typeface="Arial Narrow" panose="020B0606020202030204" pitchFamily="34" charset="0"/>
              </a:rPr>
              <a:t> από το πλαίσιο φροντίδας</a:t>
            </a:r>
            <a:endParaRPr lang="en-GB" sz="750" b="0" i="0">
              <a:solidFill>
                <a:srgbClr val="000000"/>
              </a:solidFill>
              <a:latin typeface="Arial Narrow" panose="020B0606020202030204" pitchFamily="34" charset="0"/>
            </a:endParaRPr>
          </a:p>
        </cdr:txBody>
      </cdr:sp>
    </cdr:grpSp>
  </cdr:relSizeAnchor>
  <cdr:relSizeAnchor xmlns:cdr="http://schemas.openxmlformats.org/drawingml/2006/chartDrawing">
    <cdr:from>
      <cdr:x>0.64565</cdr:x>
      <cdr:y>0.02236</cdr:y>
    </cdr:from>
    <cdr:to>
      <cdr:x>0.98372</cdr:x>
      <cdr:y>0.07824</cdr:y>
    </cdr:to>
    <cdr:grpSp>
      <cdr:nvGrpSpPr>
        <cdr:cNvPr id="18" name="Group 17">
          <a:extLst xmlns:a="http://schemas.openxmlformats.org/drawingml/2006/main">
            <a:ext uri="{FF2B5EF4-FFF2-40B4-BE49-F238E27FC236}">
              <a16:creationId xmlns:a16="http://schemas.microsoft.com/office/drawing/2014/main" id="{5B8457D9-8DD5-4719-B39B-4E33DAF96508}"/>
            </a:ext>
          </a:extLst>
        </cdr:cNvPr>
        <cdr:cNvGrpSpPr/>
      </cdr:nvGrpSpPr>
      <cdr:grpSpPr>
        <a:xfrm xmlns:a="http://schemas.openxmlformats.org/drawingml/2006/main">
          <a:off x="3021629" y="74127"/>
          <a:ext cx="1582117" cy="185215"/>
          <a:chOff x="3507782" y="91378"/>
          <a:chExt cx="1238878" cy="203200"/>
        </a:xfrm>
      </cdr:grpSpPr>
      <cdr:sp macro="" textlink="">
        <cdr:nvSpPr>
          <cdr:cNvPr id="9" name="xlamShapesMarker"/>
          <cdr:cNvSpPr/>
        </cdr:nvSpPr>
        <cdr:spPr>
          <a:xfrm xmlns:a="http://schemas.openxmlformats.org/drawingml/2006/main">
            <a:off x="3507782" y="155900"/>
            <a:ext cx="135343" cy="83708"/>
          </a:xfrm>
          <a:prstGeom xmlns:a="http://schemas.openxmlformats.org/drawingml/2006/main" prst="rect">
            <a:avLst/>
          </a:prstGeom>
          <a:solidFill xmlns:a="http://schemas.openxmlformats.org/drawingml/2006/main">
            <a:srgbClr val="83D2E3"/>
          </a:solidFill>
          <a:ln xmlns:a="http://schemas.openxmlformats.org/drawingml/2006/main" w="6350" cap="flat" cmpd="sng" algn="ctr">
            <a:no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n-US"/>
          </a:p>
        </cdr:txBody>
      </cdr:sp>
      <cdr:sp macro="" textlink="">
        <cdr:nvSpPr>
          <cdr:cNvPr id="17" name="TextBox 1"/>
          <cdr:cNvSpPr txBox="1"/>
        </cdr:nvSpPr>
        <cdr:spPr>
          <a:xfrm xmlns:a="http://schemas.openxmlformats.org/drawingml/2006/main">
            <a:off x="3593500" y="91378"/>
            <a:ext cx="1153160" cy="203200"/>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l-GR" sz="750" b="0" i="0">
                <a:solidFill>
                  <a:srgbClr val="000000"/>
                </a:solidFill>
                <a:latin typeface="Arial Narrow" panose="020B0606020202030204" pitchFamily="34" charset="0"/>
              </a:rPr>
              <a:t>Ναι, αλλά δε συμβαίνει πάντα</a:t>
            </a:r>
            <a:endParaRPr lang="en-GB" sz="750" b="0" i="0">
              <a:solidFill>
                <a:srgbClr val="000000"/>
              </a:solidFill>
              <a:latin typeface="Arial Narrow" panose="020B0606020202030204" pitchFamily="34" charset="0"/>
            </a:endParaRPr>
          </a:p>
        </cdr:txBody>
      </cdr:sp>
    </cdr:grpSp>
  </cdr:relSizeAnchor>
  <cdr:relSizeAnchor xmlns:cdr="http://schemas.openxmlformats.org/drawingml/2006/chartDrawing">
    <cdr:from>
      <cdr:x>0.06941</cdr:x>
      <cdr:y>0.88582</cdr:y>
    </cdr:from>
    <cdr:to>
      <cdr:x>0.34117</cdr:x>
      <cdr:y>1</cdr:y>
    </cdr:to>
    <cdr:sp macro="" textlink="">
      <cdr:nvSpPr>
        <cdr:cNvPr id="14" name="TextBox 1"/>
        <cdr:cNvSpPr txBox="1"/>
      </cdr:nvSpPr>
      <cdr:spPr>
        <a:xfrm xmlns:a="http://schemas.openxmlformats.org/drawingml/2006/main">
          <a:off x="324835" y="3417161"/>
          <a:ext cx="1271824" cy="440464"/>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algn="ctr"/>
          <a:r>
            <a:rPr lang="el-GR" sz="750" b="0" i="0">
              <a:solidFill>
                <a:srgbClr val="000000"/>
              </a:solidFill>
              <a:latin typeface="Arial Narrow" panose="020B0606020202030204" pitchFamily="34" charset="0"/>
            </a:rPr>
            <a:t>Το σχέδιο φροντίδας</a:t>
          </a:r>
          <a:r>
            <a:rPr lang="el-GR" sz="750" b="0" i="0" baseline="0">
              <a:solidFill>
                <a:srgbClr val="000000"/>
              </a:solidFill>
              <a:latin typeface="Arial Narrow" panose="020B0606020202030204" pitchFamily="34" charset="0"/>
            </a:rPr>
            <a:t> συμπεριλαμβάνει το λήπτη ή τον εκπρόσωπό του</a:t>
          </a:r>
          <a:endParaRPr lang="en-GB" sz="750" b="0" i="0">
            <a:solidFill>
              <a:srgbClr val="000000"/>
            </a:solidFill>
            <a:latin typeface="Arial Narrow" panose="020B0606020202030204" pitchFamily="34" charset="0"/>
          </a:endParaRPr>
        </a:p>
      </cdr:txBody>
    </cdr:sp>
  </cdr:relSizeAnchor>
  <cdr:relSizeAnchor xmlns:cdr="http://schemas.openxmlformats.org/drawingml/2006/chartDrawing">
    <cdr:from>
      <cdr:x>0.33786</cdr:x>
      <cdr:y>0.88233</cdr:y>
    </cdr:from>
    <cdr:to>
      <cdr:x>0.65437</cdr:x>
      <cdr:y>1</cdr:y>
    </cdr:to>
    <cdr:sp macro="" textlink="">
      <cdr:nvSpPr>
        <cdr:cNvPr id="19" name="TextBox 1"/>
        <cdr:cNvSpPr txBox="1"/>
      </cdr:nvSpPr>
      <cdr:spPr>
        <a:xfrm xmlns:a="http://schemas.openxmlformats.org/drawingml/2006/main">
          <a:off x="1581150" y="3403699"/>
          <a:ext cx="1481261" cy="453926"/>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algn="ctr"/>
          <a:r>
            <a:rPr lang="el-GR" sz="750" b="0" i="0">
              <a:solidFill>
                <a:srgbClr val="000000"/>
              </a:solidFill>
              <a:latin typeface="Arial Narrow" panose="020B0606020202030204" pitchFamily="34" charset="0"/>
            </a:rPr>
            <a:t>Το</a:t>
          </a:r>
          <a:r>
            <a:rPr lang="el-GR" sz="750" b="0" i="0" baseline="0">
              <a:solidFill>
                <a:srgbClr val="000000"/>
              </a:solidFill>
              <a:latin typeface="Arial Narrow" panose="020B0606020202030204" pitchFamily="34" charset="0"/>
            </a:rPr>
            <a:t> σχέδιο φροντίδας περιλαμβάνει την οικογένεια ή τον φροντιστή</a:t>
          </a:r>
          <a:endParaRPr lang="en-GB" sz="750" b="0" i="0">
            <a:solidFill>
              <a:srgbClr val="000000"/>
            </a:solidFill>
            <a:latin typeface="Arial Narrow" panose="020B0606020202030204" pitchFamily="34" charset="0"/>
          </a:endParaRPr>
        </a:p>
      </cdr:txBody>
    </cdr:sp>
  </cdr:relSizeAnchor>
  <cdr:relSizeAnchor xmlns:cdr="http://schemas.openxmlformats.org/drawingml/2006/chartDrawing">
    <cdr:from>
      <cdr:x>0.60651</cdr:x>
      <cdr:y>0.88233</cdr:y>
    </cdr:from>
    <cdr:to>
      <cdr:x>1</cdr:x>
      <cdr:y>1</cdr:y>
    </cdr:to>
    <cdr:sp macro="" textlink="">
      <cdr:nvSpPr>
        <cdr:cNvPr id="20" name="TextBox 1"/>
        <cdr:cNvSpPr txBox="1"/>
      </cdr:nvSpPr>
      <cdr:spPr>
        <a:xfrm xmlns:a="http://schemas.openxmlformats.org/drawingml/2006/main">
          <a:off x="2838436" y="3294444"/>
          <a:ext cx="1841514" cy="439356"/>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algn="ctr"/>
          <a:r>
            <a:rPr lang="el-GR" sz="750" b="0" i="0">
              <a:solidFill>
                <a:srgbClr val="000000"/>
              </a:solidFill>
              <a:latin typeface="Arial Narrow" panose="020B0606020202030204" pitchFamily="34" charset="0"/>
            </a:rPr>
            <a:t>Το σχέδιο φροντίδας περιλαμβάνει συζήτηση για την επαγγελματική αποκατάσταση, την εκπαίδευση</a:t>
          </a:r>
          <a:r>
            <a:rPr lang="el-GR" sz="750" b="0" i="0" baseline="0">
              <a:solidFill>
                <a:srgbClr val="000000"/>
              </a:solidFill>
              <a:latin typeface="Arial Narrow" panose="020B0606020202030204" pitchFamily="34" charset="0"/>
            </a:rPr>
            <a:t> ή άλλα ζητήματα</a:t>
          </a:r>
          <a:endParaRPr lang="en-GB" sz="750" b="0" i="0">
            <a:solidFill>
              <a:srgbClr val="000000"/>
            </a:solidFill>
            <a:latin typeface="Arial Narrow" panose="020B0606020202030204" pitchFamily="34" charset="0"/>
          </a:endParaRPr>
        </a:p>
      </cdr:txBody>
    </cdr:sp>
  </cdr:relSizeAnchor>
</c:userShapes>
</file>

<file path=word/drawings/drawing2.xml><?xml version="1.0" encoding="utf-8"?>
<c:userShapes xmlns:c="http://schemas.openxmlformats.org/drawingml/2006/chart">
  <cdr:relSizeAnchor xmlns:cdr="http://schemas.openxmlformats.org/drawingml/2006/chartDrawing">
    <cdr:from>
      <cdr:x>0.03251</cdr:x>
      <cdr:y>0.01165</cdr:y>
    </cdr:from>
    <cdr:to>
      <cdr:x>1</cdr:x>
      <cdr:y>0.06513</cdr:y>
    </cdr:to>
    <cdr:sp macro="" textlink="">
      <cdr:nvSpPr>
        <cdr:cNvPr id="2" name="TextBox 1"/>
        <cdr:cNvSpPr txBox="1"/>
      </cdr:nvSpPr>
      <cdr:spPr>
        <a:xfrm xmlns:a="http://schemas.openxmlformats.org/drawingml/2006/main">
          <a:off x="181342" y="35116"/>
          <a:ext cx="5397499" cy="161248"/>
        </a:xfrm>
        <a:prstGeom xmlns:a="http://schemas.openxmlformats.org/drawingml/2006/main" prst="rect">
          <a:avLst/>
        </a:prstGeom>
        <a:solidFill xmlns:a="http://schemas.openxmlformats.org/drawingml/2006/main">
          <a:srgbClr val="EAEAEA"/>
        </a:solidFill>
      </cdr:spPr>
      <cdr:txBody>
        <a:bodyPr xmlns:a="http://schemas.openxmlformats.org/drawingml/2006/main" vertOverflow="clip" wrap="square" rtlCol="0"/>
        <a:lstStyle xmlns:a="http://schemas.openxmlformats.org/drawingml/2006/main"/>
        <a:p xmlns:a="http://schemas.openxmlformats.org/drawingml/2006/main">
          <a:endParaRPr lang="en-GB" sz="1100"/>
        </a:p>
      </cdr:txBody>
    </cdr:sp>
  </cdr:relSizeAnchor>
  <cdr:relSizeAnchor xmlns:cdr="http://schemas.openxmlformats.org/drawingml/2006/chartDrawing">
    <cdr:from>
      <cdr:x>0.21102</cdr:x>
      <cdr:y>0.00648</cdr:y>
    </cdr:from>
    <cdr:to>
      <cdr:x>0.47454</cdr:x>
      <cdr:y>0.06857</cdr:y>
    </cdr:to>
    <cdr:sp macro="" textlink="">
      <cdr:nvSpPr>
        <cdr:cNvPr id="11" name="TextBox 10"/>
        <cdr:cNvSpPr txBox="1"/>
      </cdr:nvSpPr>
      <cdr:spPr>
        <a:xfrm xmlns:a="http://schemas.openxmlformats.org/drawingml/2006/main">
          <a:off x="1187439" y="19539"/>
          <a:ext cx="1482871" cy="187188"/>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l-GR" sz="750">
              <a:latin typeface="Arial Narrow" panose="020B0606020202030204" pitchFamily="34" charset="0"/>
            </a:rPr>
            <a:t>Πλήρης Κάλυψη</a:t>
          </a:r>
          <a:endParaRPr lang="en-GB" sz="750">
            <a:latin typeface="Arial Narrow" panose="020B0606020202030204" pitchFamily="34" charset="0"/>
          </a:endParaRPr>
        </a:p>
      </cdr:txBody>
    </cdr:sp>
  </cdr:relSizeAnchor>
  <cdr:relSizeAnchor xmlns:cdr="http://schemas.openxmlformats.org/drawingml/2006/chartDrawing">
    <cdr:from>
      <cdr:x>0.59973</cdr:x>
      <cdr:y>0.0081</cdr:y>
    </cdr:from>
    <cdr:to>
      <cdr:x>0.86325</cdr:x>
      <cdr:y>0.07019</cdr:y>
    </cdr:to>
    <cdr:sp macro="" textlink="">
      <cdr:nvSpPr>
        <cdr:cNvPr id="12" name="TextBox 1"/>
        <cdr:cNvSpPr txBox="1"/>
      </cdr:nvSpPr>
      <cdr:spPr>
        <a:xfrm xmlns:a="http://schemas.openxmlformats.org/drawingml/2006/main">
          <a:off x="3374764" y="24423"/>
          <a:ext cx="1482871" cy="187188"/>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l-GR" sz="750">
              <a:latin typeface="Arial Narrow" panose="020B0606020202030204" pitchFamily="34" charset="0"/>
            </a:rPr>
            <a:t>Μερική</a:t>
          </a:r>
          <a:r>
            <a:rPr lang="el-GR" sz="750" baseline="0">
              <a:latin typeface="Arial Narrow" panose="020B0606020202030204" pitchFamily="34" charset="0"/>
            </a:rPr>
            <a:t> κάλυψη</a:t>
          </a:r>
          <a:endParaRPr lang="en-GB" sz="750">
            <a:latin typeface="Arial Narrow" panose="020B0606020202030204" pitchFamily="34" charset="0"/>
          </a:endParaRPr>
        </a:p>
      </cdr:txBody>
    </cdr:sp>
  </cdr:relSizeAnchor>
  <cdr:relSizeAnchor xmlns:cdr="http://schemas.openxmlformats.org/drawingml/2006/chartDrawing">
    <cdr:from>
      <cdr:x>0.57732</cdr:x>
      <cdr:y>0.02814</cdr:y>
    </cdr:from>
    <cdr:to>
      <cdr:x>0.60211</cdr:x>
      <cdr:y>0.04884</cdr:y>
    </cdr:to>
    <cdr:sp macro="" textlink="">
      <cdr:nvSpPr>
        <cdr:cNvPr id="10" name="xlamShapesMarker"/>
        <cdr:cNvSpPr/>
      </cdr:nvSpPr>
      <cdr:spPr>
        <a:xfrm xmlns:a="http://schemas.openxmlformats.org/drawingml/2006/main">
          <a:off x="3274645" y="98282"/>
          <a:ext cx="140600" cy="72305"/>
        </a:xfrm>
        <a:prstGeom xmlns:a="http://schemas.openxmlformats.org/drawingml/2006/main" prst="rect">
          <a:avLst/>
        </a:prstGeom>
        <a:solidFill xmlns:a="http://schemas.openxmlformats.org/drawingml/2006/main">
          <a:srgbClr val="7FA8D9"/>
        </a:solidFill>
        <a:ln xmlns:a="http://schemas.openxmlformats.org/drawingml/2006/main" w="6350" cap="flat" cmpd="sng" algn="ctr">
          <a:no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chemeClr val="lt1"/>
              </a:solidFill>
              <a:latin typeface="+mn-lt"/>
              <a:ea typeface="+mn-ea"/>
              <a:cs typeface="+mn-cs"/>
            </a:defRPr>
          </a:lvl1pPr>
          <a:lvl2pPr marL="457200" indent="0">
            <a:defRPr sz="1100">
              <a:solidFill>
                <a:schemeClr val="lt1"/>
              </a:solidFill>
              <a:latin typeface="+mn-lt"/>
              <a:ea typeface="+mn-ea"/>
              <a:cs typeface="+mn-cs"/>
            </a:defRPr>
          </a:lvl2pPr>
          <a:lvl3pPr marL="914400" indent="0">
            <a:defRPr sz="1100">
              <a:solidFill>
                <a:schemeClr val="lt1"/>
              </a:solidFill>
              <a:latin typeface="+mn-lt"/>
              <a:ea typeface="+mn-ea"/>
              <a:cs typeface="+mn-cs"/>
            </a:defRPr>
          </a:lvl3pPr>
          <a:lvl4pPr marL="1371600" indent="0">
            <a:defRPr sz="1100">
              <a:solidFill>
                <a:schemeClr val="lt1"/>
              </a:solidFill>
              <a:latin typeface="+mn-lt"/>
              <a:ea typeface="+mn-ea"/>
              <a:cs typeface="+mn-cs"/>
            </a:defRPr>
          </a:lvl4pPr>
          <a:lvl5pPr marL="1828800" indent="0">
            <a:defRPr sz="1100">
              <a:solidFill>
                <a:schemeClr val="lt1"/>
              </a:solidFill>
              <a:latin typeface="+mn-lt"/>
              <a:ea typeface="+mn-ea"/>
              <a:cs typeface="+mn-cs"/>
            </a:defRPr>
          </a:lvl5pPr>
          <a:lvl6pPr marL="2286000" indent="0">
            <a:defRPr sz="1100">
              <a:solidFill>
                <a:schemeClr val="lt1"/>
              </a:solidFill>
              <a:latin typeface="+mn-lt"/>
              <a:ea typeface="+mn-ea"/>
              <a:cs typeface="+mn-cs"/>
            </a:defRPr>
          </a:lvl6pPr>
          <a:lvl7pPr marL="2743200" indent="0">
            <a:defRPr sz="1100">
              <a:solidFill>
                <a:schemeClr val="lt1"/>
              </a:solidFill>
              <a:latin typeface="+mn-lt"/>
              <a:ea typeface="+mn-ea"/>
              <a:cs typeface="+mn-cs"/>
            </a:defRPr>
          </a:lvl7pPr>
          <a:lvl8pPr marL="3200400" indent="0">
            <a:defRPr sz="1100">
              <a:solidFill>
                <a:schemeClr val="lt1"/>
              </a:solidFill>
              <a:latin typeface="+mn-lt"/>
              <a:ea typeface="+mn-ea"/>
              <a:cs typeface="+mn-cs"/>
            </a:defRPr>
          </a:lvl8pPr>
          <a:lvl9pPr marL="3657600" indent="0">
            <a:defRPr sz="1100">
              <a:solidFill>
                <a:schemeClr val="lt1"/>
              </a:solidFill>
              <a:latin typeface="+mn-lt"/>
              <a:ea typeface="+mn-ea"/>
              <a:cs typeface="+mn-cs"/>
            </a:defRPr>
          </a:lvl9pPr>
        </a:lstStyle>
        <a:p xmlns:a="http://schemas.openxmlformats.org/drawingml/2006/main">
          <a:endParaRPr lang="en-US"/>
        </a:p>
      </cdr:txBody>
    </cdr:sp>
  </cdr:relSizeAnchor>
  <cdr:relSizeAnchor xmlns:cdr="http://schemas.openxmlformats.org/drawingml/2006/chartDrawing">
    <cdr:from>
      <cdr:x>0.19034</cdr:x>
      <cdr:y>0.02714</cdr:y>
    </cdr:from>
    <cdr:to>
      <cdr:x>0.21513</cdr:x>
      <cdr:y>0.04784</cdr:y>
    </cdr:to>
    <cdr:sp macro="" textlink="">
      <cdr:nvSpPr>
        <cdr:cNvPr id="9" name="xlamShapesMarker"/>
        <cdr:cNvSpPr/>
      </cdr:nvSpPr>
      <cdr:spPr>
        <a:xfrm xmlns:a="http://schemas.openxmlformats.org/drawingml/2006/main">
          <a:off x="1079658" y="94777"/>
          <a:ext cx="140600" cy="72304"/>
        </a:xfrm>
        <a:prstGeom xmlns:a="http://schemas.openxmlformats.org/drawingml/2006/main" prst="rect">
          <a:avLst/>
        </a:prstGeom>
        <a:solidFill xmlns:a="http://schemas.openxmlformats.org/drawingml/2006/main">
          <a:srgbClr val="006BB6"/>
        </a:solidFill>
        <a:ln xmlns:a="http://schemas.openxmlformats.org/drawingml/2006/main" w="6350" cap="flat" cmpd="sng" algn="ctr">
          <a:no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n-US"/>
        </a:p>
      </cdr:txBody>
    </cdr:sp>
  </cdr:relSizeAnchor>
</c:userShape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VCVHUK4kC0lr+WQvmv2bR6YgioQ==">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</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2019-05-11T06:53:00Z</dcterms:created>
  <dc:creator>User</dc:creator>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e74bf805-99a2-3648-ab85-99b86b49b8ce</vt:lpwstr>
  </property>
  <property fmtid="{D5CDD505-2E9C-101B-9397-08002B2CF9AE}" pid="24" name="Mendeley Citation Style_1">
    <vt:lpwstr>http://www.zotero.org/styles/apa</vt:lpwstr>
  </property>
</Properties>
</file>